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2FB6" w14:textId="27DE54CA" w:rsidR="006D474E" w:rsidRPr="000A4A98" w:rsidRDefault="00DB5891" w:rsidP="006D474E">
      <w:pPr>
        <w:pStyle w:val="Heading1"/>
        <w:rPr>
          <w:rFonts w:ascii="Cambria" w:hAnsi="Cambria"/>
          <w:u w:val="single"/>
        </w:rPr>
      </w:pPr>
      <w:bookmarkStart w:id="0" w:name="_Toc125708226"/>
      <w:r>
        <w:rPr>
          <w:rFonts w:ascii="Cambria" w:hAnsi="Cambria"/>
        </w:rPr>
        <w:t>Lecture 11</w:t>
      </w:r>
      <w:r w:rsidR="002635CA" w:rsidRPr="000A4A98">
        <w:rPr>
          <w:rFonts w:ascii="Cambria" w:hAnsi="Cambria"/>
        </w:rPr>
        <w:t xml:space="preserve">: </w:t>
      </w:r>
      <w:r w:rsidR="006D474E" w:rsidRPr="000A4A98">
        <w:rPr>
          <w:rFonts w:ascii="Cambria" w:hAnsi="Cambria"/>
        </w:rPr>
        <w:t>Markets</w:t>
      </w:r>
      <w:bookmarkEnd w:id="0"/>
      <w:r>
        <w:rPr>
          <w:rFonts w:ascii="Cambria" w:hAnsi="Cambria"/>
        </w:rPr>
        <w:t xml:space="preserve"> and consumer d</w:t>
      </w:r>
      <w:r w:rsidR="00A15F23">
        <w:rPr>
          <w:rFonts w:ascii="Cambria" w:hAnsi="Cambria"/>
        </w:rPr>
        <w:t>emand</w:t>
      </w:r>
    </w:p>
    <w:p w14:paraId="34A50B8C" w14:textId="2303C0AF" w:rsidR="006D474E" w:rsidRPr="000A4A98" w:rsidRDefault="009E15DC" w:rsidP="006D474E">
      <w:pPr>
        <w:rPr>
          <w:rFonts w:ascii="Cambria" w:hAnsi="Cambria"/>
          <w:b/>
          <w:color w:val="548DD4"/>
        </w:rPr>
      </w:pPr>
      <w:r w:rsidRPr="000A4A98">
        <w:rPr>
          <w:rFonts w:ascii="Cambria" w:hAnsi="Cambria"/>
          <w:noProof/>
          <w:u w:val="single"/>
        </w:rPr>
        <mc:AlternateContent>
          <mc:Choice Requires="wps">
            <w:drawing>
              <wp:anchor distT="0" distB="0" distL="114300" distR="114300" simplePos="0" relativeHeight="251662336" behindDoc="0" locked="0" layoutInCell="1" allowOverlap="1" wp14:anchorId="705B34A6" wp14:editId="1AD0FAEF">
                <wp:simplePos x="0" y="0"/>
                <wp:positionH relativeFrom="column">
                  <wp:posOffset>51435</wp:posOffset>
                </wp:positionH>
                <wp:positionV relativeFrom="paragraph">
                  <wp:posOffset>311785</wp:posOffset>
                </wp:positionV>
                <wp:extent cx="5557520" cy="5777230"/>
                <wp:effectExtent l="0" t="0" r="30480" b="13970"/>
                <wp:wrapTight wrapText="bothSides">
                  <wp:wrapPolygon edited="0">
                    <wp:start x="0" y="0"/>
                    <wp:lineTo x="0" y="21557"/>
                    <wp:lineTo x="21620" y="21557"/>
                    <wp:lineTo x="2162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7772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F52EFD" w14:textId="7319BDCE" w:rsidR="000C1352" w:rsidRPr="00150271" w:rsidRDefault="000C1352" w:rsidP="00AD627C">
                            <w:pPr>
                              <w:rPr>
                                <w:rFonts w:ascii="Cambria" w:hAnsi="Cambria"/>
                                <w:u w:val="single"/>
                              </w:rPr>
                            </w:pPr>
                            <w:bookmarkStart w:id="1" w:name="_GoBack"/>
                            <w:r w:rsidRPr="00150271">
                              <w:rPr>
                                <w:rFonts w:ascii="Cambria" w:hAnsi="Cambria"/>
                                <w:u w:val="single"/>
                              </w:rPr>
                              <w:t>Markets</w:t>
                            </w:r>
                            <w:r>
                              <w:rPr>
                                <w:rFonts w:ascii="Cambria" w:hAnsi="Cambria"/>
                                <w:u w:val="single"/>
                              </w:rPr>
                              <w:t xml:space="preserve"> and consumer demand</w:t>
                            </w:r>
                          </w:p>
                          <w:p w14:paraId="6818813D" w14:textId="77777777" w:rsidR="000C1352" w:rsidRPr="00150271" w:rsidRDefault="000C1352" w:rsidP="00AD627C">
                            <w:pPr>
                              <w:pStyle w:val="ListParagraph"/>
                              <w:numPr>
                                <w:ilvl w:val="0"/>
                                <w:numId w:val="5"/>
                              </w:numPr>
                              <w:rPr>
                                <w:rFonts w:ascii="Cambria" w:hAnsi="Cambria"/>
                              </w:rPr>
                            </w:pPr>
                            <w:r w:rsidRPr="00150271">
                              <w:rPr>
                                <w:rFonts w:ascii="Cambria" w:hAnsi="Cambria"/>
                              </w:rPr>
                              <w:t xml:space="preserve">Access </w:t>
                            </w:r>
                          </w:p>
                          <w:p w14:paraId="0F22FF7E" w14:textId="77777777" w:rsidR="000C1352" w:rsidRDefault="000C1352" w:rsidP="00AD627C">
                            <w:pPr>
                              <w:pStyle w:val="ListParagraph"/>
                              <w:numPr>
                                <w:ilvl w:val="0"/>
                                <w:numId w:val="5"/>
                              </w:numPr>
                              <w:rPr>
                                <w:rFonts w:ascii="Cambria" w:hAnsi="Cambria"/>
                              </w:rPr>
                            </w:pPr>
                            <w:r w:rsidRPr="00150271">
                              <w:rPr>
                                <w:rFonts w:ascii="Cambria" w:hAnsi="Cambria"/>
                              </w:rPr>
                              <w:t>Preferences</w:t>
                            </w:r>
                          </w:p>
                          <w:p w14:paraId="744D724B" w14:textId="5A26A054" w:rsidR="000C1352" w:rsidRDefault="000C1352" w:rsidP="00AD627C">
                            <w:pPr>
                              <w:pStyle w:val="ListParagraph"/>
                              <w:numPr>
                                <w:ilvl w:val="0"/>
                                <w:numId w:val="5"/>
                              </w:numPr>
                              <w:rPr>
                                <w:rFonts w:ascii="Cambria" w:hAnsi="Cambria"/>
                              </w:rPr>
                            </w:pPr>
                            <w:r>
                              <w:rPr>
                                <w:rFonts w:ascii="Cambria" w:hAnsi="Cambria"/>
                              </w:rPr>
                              <w:t>Income and consumption</w:t>
                            </w:r>
                          </w:p>
                          <w:p w14:paraId="20D4F0A1" w14:textId="3E3C820E" w:rsidR="000C1352" w:rsidRPr="00150271" w:rsidRDefault="000C1352" w:rsidP="006C6CD3">
                            <w:pPr>
                              <w:pStyle w:val="ListParagraph"/>
                              <w:numPr>
                                <w:ilvl w:val="0"/>
                                <w:numId w:val="5"/>
                              </w:numPr>
                              <w:rPr>
                                <w:rFonts w:ascii="Cambria" w:hAnsi="Cambria"/>
                              </w:rPr>
                            </w:pPr>
                            <w:r>
                              <w:rPr>
                                <w:rFonts w:ascii="Cambria" w:hAnsi="Cambria"/>
                              </w:rPr>
                              <w:t>E</w:t>
                            </w:r>
                            <w:r w:rsidRPr="00150271">
                              <w:rPr>
                                <w:rFonts w:ascii="Cambria" w:hAnsi="Cambria"/>
                              </w:rPr>
                              <w:t xml:space="preserve">lasticities </w:t>
                            </w:r>
                          </w:p>
                          <w:p w14:paraId="24201559" w14:textId="77777777" w:rsidR="000C1352" w:rsidRPr="00150271" w:rsidRDefault="000C1352" w:rsidP="006C6CD3">
                            <w:pPr>
                              <w:pStyle w:val="ListParagraph"/>
                              <w:numPr>
                                <w:ilvl w:val="0"/>
                                <w:numId w:val="5"/>
                              </w:numPr>
                              <w:rPr>
                                <w:rFonts w:ascii="Cambria" w:hAnsi="Cambria"/>
                              </w:rPr>
                            </w:pPr>
                            <w:r w:rsidRPr="00150271">
                              <w:rPr>
                                <w:rFonts w:ascii="Cambria" w:hAnsi="Cambria"/>
                              </w:rPr>
                              <w:t>Marginal propensities to consume</w:t>
                            </w:r>
                          </w:p>
                          <w:p w14:paraId="7DDFCE65" w14:textId="77777777" w:rsidR="000C1352" w:rsidRPr="00150271" w:rsidRDefault="000C1352" w:rsidP="006C6CD3">
                            <w:pPr>
                              <w:pStyle w:val="ListParagraph"/>
                              <w:numPr>
                                <w:ilvl w:val="0"/>
                                <w:numId w:val="5"/>
                              </w:numPr>
                              <w:rPr>
                                <w:rFonts w:ascii="Cambria" w:hAnsi="Cambria"/>
                              </w:rPr>
                            </w:pPr>
                            <w:r w:rsidRPr="00150271">
                              <w:rPr>
                                <w:rFonts w:ascii="Cambria" w:hAnsi="Cambria"/>
                              </w:rPr>
                              <w:t>Terms of trade</w:t>
                            </w:r>
                          </w:p>
                          <w:p w14:paraId="51A5943C" w14:textId="77777777" w:rsidR="000C1352" w:rsidRDefault="000C1352" w:rsidP="00EF3D53">
                            <w:pPr>
                              <w:pStyle w:val="ListParagraph"/>
                              <w:numPr>
                                <w:ilvl w:val="0"/>
                                <w:numId w:val="5"/>
                              </w:numPr>
                              <w:rPr>
                                <w:rFonts w:ascii="Cambria" w:hAnsi="Cambria"/>
                              </w:rPr>
                            </w:pPr>
                            <w:r>
                              <w:rPr>
                                <w:rFonts w:ascii="Cambria" w:hAnsi="Cambria"/>
                              </w:rPr>
                              <w:t>Commodities to examine</w:t>
                            </w:r>
                          </w:p>
                          <w:p w14:paraId="0DFDFB72" w14:textId="77777777" w:rsidR="000C1352" w:rsidRPr="00150271" w:rsidRDefault="000C1352" w:rsidP="006C6CD3">
                            <w:pPr>
                              <w:pStyle w:val="ListParagraph"/>
                              <w:rPr>
                                <w:rFonts w:ascii="Cambria" w:hAnsi="Cambria"/>
                              </w:rPr>
                            </w:pPr>
                          </w:p>
                          <w:p w14:paraId="63A3F68A" w14:textId="77777777" w:rsidR="000C1352" w:rsidRPr="00150271" w:rsidRDefault="000C1352" w:rsidP="00AD627C">
                            <w:pPr>
                              <w:rPr>
                                <w:rFonts w:ascii="Cambria" w:hAnsi="Cambria"/>
                              </w:rPr>
                            </w:pPr>
                          </w:p>
                          <w:p w14:paraId="44C31C7B" w14:textId="77777777" w:rsidR="00140DC6" w:rsidRPr="00F3071E" w:rsidRDefault="00140DC6" w:rsidP="00140DC6">
                            <w:pPr>
                              <w:rPr>
                                <w:rFonts w:ascii="Cambria" w:hAnsi="Cambria"/>
                                <w:i/>
                              </w:rPr>
                            </w:pPr>
                            <w:r w:rsidRPr="00F3071E">
                              <w:rPr>
                                <w:rFonts w:ascii="Cambria" w:hAnsi="Cambria"/>
                                <w:i/>
                              </w:rPr>
                              <w:t>Readings</w:t>
                            </w:r>
                          </w:p>
                          <w:p w14:paraId="0C28701B" w14:textId="77777777" w:rsidR="00140DC6" w:rsidRPr="00F3071E" w:rsidRDefault="00140DC6" w:rsidP="00140DC6">
                            <w:pPr>
                              <w:pStyle w:val="ListParagraph"/>
                              <w:numPr>
                                <w:ilvl w:val="0"/>
                                <w:numId w:val="5"/>
                              </w:numPr>
                              <w:rPr>
                                <w:rFonts w:ascii="Cambria" w:hAnsi="Cambria"/>
                              </w:rPr>
                            </w:pPr>
                            <w:proofErr w:type="spellStart"/>
                            <w:r w:rsidRPr="00F3071E">
                              <w:rPr>
                                <w:rFonts w:ascii="Cambria" w:hAnsi="Cambria"/>
                              </w:rPr>
                              <w:t>Timmer</w:t>
                            </w:r>
                            <w:proofErr w:type="spellEnd"/>
                            <w:r w:rsidRPr="00F3071E">
                              <w:rPr>
                                <w:rFonts w:ascii="Cambria" w:hAnsi="Cambria"/>
                              </w:rPr>
                              <w:t xml:space="preserve">, C. P., W.D. Falcon, and S.R. Pearson (1983) </w:t>
                            </w:r>
                            <w:r w:rsidRPr="0031433E">
                              <w:rPr>
                                <w:rFonts w:ascii="Cambria" w:hAnsi="Cambria"/>
                                <w:i/>
                              </w:rPr>
                              <w:t>Food Policy Analysis</w:t>
                            </w:r>
                            <w:r w:rsidRPr="00F3071E">
                              <w:rPr>
                                <w:rFonts w:ascii="Cambria" w:hAnsi="Cambria"/>
                              </w:rPr>
                              <w:t xml:space="preserve">. Baltimore: Johns Hopkins University Press. Pp. 35-60 “Food Consumption Analysis.” </w:t>
                            </w:r>
                            <w:hyperlink r:id="rId8" w:history="1">
                              <w:r w:rsidRPr="00F3071E">
                                <w:rPr>
                                  <w:rStyle w:val="Hyperlink"/>
                                  <w:rFonts w:ascii="Cambria" w:hAnsi="Cambria"/>
                                </w:rPr>
                                <w:t>http://www.stanford.edu/group/FRI/indonesia/documents/foodpolicy/fronttoc.fm.html</w:t>
                              </w:r>
                            </w:hyperlink>
                          </w:p>
                          <w:p w14:paraId="066171FC" w14:textId="77777777" w:rsidR="00140DC6" w:rsidRPr="00F3071E" w:rsidRDefault="00140DC6" w:rsidP="00140DC6">
                            <w:pPr>
                              <w:pStyle w:val="ListParagraph"/>
                              <w:numPr>
                                <w:ilvl w:val="0"/>
                                <w:numId w:val="5"/>
                              </w:numPr>
                              <w:rPr>
                                <w:rFonts w:ascii="Cambria" w:hAnsi="Cambria"/>
                              </w:rPr>
                            </w:pPr>
                            <w:r w:rsidRPr="00F3071E">
                              <w:rPr>
                                <w:rFonts w:ascii="Cambria" w:hAnsi="Cambria"/>
                              </w:rPr>
                              <w:t xml:space="preserve">World Food Program (2008) “PDPE Market Analysis Tool: Price and Income Elasticities.” </w:t>
                            </w:r>
                            <w:r>
                              <w:rPr>
                                <w:rFonts w:ascii="Cambria" w:hAnsi="Cambria"/>
                                <w:i/>
                              </w:rPr>
                              <w:t xml:space="preserve"> </w:t>
                            </w:r>
                            <w:hyperlink r:id="rId9" w:history="1">
                              <w:r>
                                <w:rPr>
                                  <w:rStyle w:val="Hyperlink"/>
                                </w:rPr>
                                <w:t>http://documents.wfp.org/stellent/groups/public/documents/manual_guide_proced/wfp187903.pdf</w:t>
                              </w:r>
                            </w:hyperlink>
                          </w:p>
                          <w:p w14:paraId="635E9089" w14:textId="77777777" w:rsidR="00140DC6" w:rsidRPr="00F3071E" w:rsidRDefault="00140DC6" w:rsidP="00140DC6">
                            <w:pPr>
                              <w:pStyle w:val="ListParagraph"/>
                              <w:numPr>
                                <w:ilvl w:val="0"/>
                                <w:numId w:val="5"/>
                              </w:numPr>
                              <w:rPr>
                                <w:rFonts w:ascii="Cambria" w:hAnsi="Cambria"/>
                              </w:rPr>
                            </w:pPr>
                            <w:r w:rsidRPr="00F3071E">
                              <w:rPr>
                                <w:rFonts w:ascii="Cambria" w:hAnsi="Cambria"/>
                              </w:rPr>
                              <w:t xml:space="preserve">World Food Program (2008) “PDPE Market Analysis Tool: Terms of Trade.” </w:t>
                            </w:r>
                            <w:r>
                              <w:rPr>
                                <w:rFonts w:ascii="Cambria" w:hAnsi="Cambria"/>
                                <w:i/>
                              </w:rPr>
                              <w:t xml:space="preserve"> </w:t>
                            </w:r>
                            <w:hyperlink r:id="rId10" w:history="1">
                              <w:r>
                                <w:rPr>
                                  <w:rStyle w:val="Hyperlink"/>
                                </w:rPr>
                                <w:t>http://documents.wfp.org/stellent/groups/public/documents/manual_guide_proced/wfp187906.pdf</w:t>
                              </w:r>
                            </w:hyperlink>
                          </w:p>
                          <w:p w14:paraId="3DDBB641" w14:textId="77777777" w:rsidR="00140DC6" w:rsidRPr="00F3071E" w:rsidRDefault="00140DC6" w:rsidP="00140DC6">
                            <w:pPr>
                              <w:rPr>
                                <w:rFonts w:ascii="Cambria" w:hAnsi="Cambria"/>
                              </w:rPr>
                            </w:pPr>
                          </w:p>
                          <w:p w14:paraId="30EBB754" w14:textId="77777777" w:rsidR="00140DC6" w:rsidRPr="00F3071E" w:rsidRDefault="00140DC6" w:rsidP="00140DC6">
                            <w:pPr>
                              <w:rPr>
                                <w:rFonts w:ascii="Cambria" w:hAnsi="Cambria"/>
                              </w:rPr>
                            </w:pPr>
                          </w:p>
                          <w:p w14:paraId="5DE4D194" w14:textId="77777777" w:rsidR="00140DC6" w:rsidRPr="00F3071E" w:rsidRDefault="00140DC6" w:rsidP="00140DC6">
                            <w:pPr>
                              <w:rPr>
                                <w:rFonts w:ascii="Cambria" w:hAnsi="Cambria"/>
                                <w:i/>
                              </w:rPr>
                            </w:pPr>
                            <w:r w:rsidRPr="00F3071E">
                              <w:rPr>
                                <w:rFonts w:ascii="Cambria" w:hAnsi="Cambria"/>
                                <w:i/>
                              </w:rPr>
                              <w:t>Supplementary Readings:</w:t>
                            </w:r>
                          </w:p>
                          <w:p w14:paraId="2E490038" w14:textId="77777777" w:rsidR="00140DC6" w:rsidRPr="00F3071E" w:rsidRDefault="00140DC6" w:rsidP="00140DC6">
                            <w:pPr>
                              <w:rPr>
                                <w:rFonts w:ascii="Cambria" w:hAnsi="Cambria"/>
                                <w:i/>
                              </w:rPr>
                            </w:pPr>
                            <w:r w:rsidRPr="00F3071E">
                              <w:rPr>
                                <w:rFonts w:ascii="Cambria" w:hAnsi="Cambria"/>
                                <w:i/>
                              </w:rPr>
                              <w:t>Tools for Primary Data Analysis</w:t>
                            </w:r>
                          </w:p>
                          <w:p w14:paraId="419A3BEF" w14:textId="77777777" w:rsidR="00140DC6" w:rsidRPr="00F3071E" w:rsidRDefault="00140DC6" w:rsidP="00140DC6">
                            <w:pPr>
                              <w:pStyle w:val="ListParagraph"/>
                              <w:numPr>
                                <w:ilvl w:val="0"/>
                                <w:numId w:val="5"/>
                              </w:numPr>
                              <w:rPr>
                                <w:rStyle w:val="HTMLCite"/>
                                <w:rFonts w:ascii="Cambria" w:hAnsi="Cambria"/>
                              </w:rPr>
                            </w:pPr>
                            <w:r w:rsidRPr="00F3071E">
                              <w:rPr>
                                <w:rFonts w:ascii="Cambria" w:hAnsi="Cambria"/>
                              </w:rPr>
                              <w:t xml:space="preserve">Kumar, K. (1989) “Conducting Key Informant Interviews in Developing Countries.” AID Program Design and Evaluation Methodology Report No. 13. </w:t>
                            </w:r>
                            <w:hyperlink r:id="rId11" w:history="1">
                              <w:r>
                                <w:rPr>
                                  <w:rStyle w:val="Hyperlink"/>
                                </w:rPr>
                                <w:t>http://pdf.usaid.gov/pdf_docs/PNAAX226.PDF</w:t>
                              </w:r>
                            </w:hyperlink>
                          </w:p>
                          <w:p w14:paraId="28B622A8" w14:textId="77777777" w:rsidR="000C1352" w:rsidRPr="0029588B" w:rsidRDefault="000C1352" w:rsidP="00CB6779">
                            <w:pPr>
                              <w:pStyle w:val="ListParagraph"/>
                              <w:rPr>
                                <w:rFonts w:ascii="Cambria" w:hAnsi="Cambria"/>
                              </w:rPr>
                            </w:pPr>
                          </w:p>
                          <w:p w14:paraId="6E5C5045" w14:textId="77777777" w:rsidR="000C1352" w:rsidRPr="003F095A" w:rsidRDefault="000C1352" w:rsidP="00AD627C">
                            <w:pPr>
                              <w:ind w:left="360"/>
                              <w:rPr>
                                <w:rFonts w:ascii="Cambria" w:hAnsi="Cambria"/>
                              </w:rPr>
                            </w:pPr>
                          </w:p>
                          <w:bookmarkEnd w:i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24.55pt;width:437.6pt;height:4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" filled="f" strokecolor="black [3213]">
                <v:textbox inset=",7.2pt,,7.2pt">
                  <w:txbxContent>
                    <w:p w14:paraId="5BF52EFD" w14:textId="7319BDCE" w:rsidR="000C1352" w:rsidRPr="00150271" w:rsidRDefault="000C1352" w:rsidP="00AD627C">
                      <w:pPr>
                        <w:rPr>
                          <w:rFonts w:ascii="Cambria" w:hAnsi="Cambria"/>
                          <w:u w:val="single"/>
                        </w:rPr>
                      </w:pPr>
                      <w:bookmarkStart w:id="2" w:name="_GoBack"/>
                      <w:r w:rsidRPr="00150271">
                        <w:rPr>
                          <w:rFonts w:ascii="Cambria" w:hAnsi="Cambria"/>
                          <w:u w:val="single"/>
                        </w:rPr>
                        <w:t>Markets</w:t>
                      </w:r>
                      <w:r>
                        <w:rPr>
                          <w:rFonts w:ascii="Cambria" w:hAnsi="Cambria"/>
                          <w:u w:val="single"/>
                        </w:rPr>
                        <w:t xml:space="preserve"> and consumer demand</w:t>
                      </w:r>
                    </w:p>
                    <w:p w14:paraId="6818813D" w14:textId="77777777" w:rsidR="000C1352" w:rsidRPr="00150271" w:rsidRDefault="000C1352" w:rsidP="00AD627C">
                      <w:pPr>
                        <w:pStyle w:val="ListParagraph"/>
                        <w:numPr>
                          <w:ilvl w:val="0"/>
                          <w:numId w:val="5"/>
                        </w:numPr>
                        <w:rPr>
                          <w:rFonts w:ascii="Cambria" w:hAnsi="Cambria"/>
                        </w:rPr>
                      </w:pPr>
                      <w:r w:rsidRPr="00150271">
                        <w:rPr>
                          <w:rFonts w:ascii="Cambria" w:hAnsi="Cambria"/>
                        </w:rPr>
                        <w:t xml:space="preserve">Access </w:t>
                      </w:r>
                    </w:p>
                    <w:p w14:paraId="0F22FF7E" w14:textId="77777777" w:rsidR="000C1352" w:rsidRDefault="000C1352" w:rsidP="00AD627C">
                      <w:pPr>
                        <w:pStyle w:val="ListParagraph"/>
                        <w:numPr>
                          <w:ilvl w:val="0"/>
                          <w:numId w:val="5"/>
                        </w:numPr>
                        <w:rPr>
                          <w:rFonts w:ascii="Cambria" w:hAnsi="Cambria"/>
                        </w:rPr>
                      </w:pPr>
                      <w:r w:rsidRPr="00150271">
                        <w:rPr>
                          <w:rFonts w:ascii="Cambria" w:hAnsi="Cambria"/>
                        </w:rPr>
                        <w:t>Preferences</w:t>
                      </w:r>
                    </w:p>
                    <w:p w14:paraId="744D724B" w14:textId="5A26A054" w:rsidR="000C1352" w:rsidRDefault="000C1352" w:rsidP="00AD627C">
                      <w:pPr>
                        <w:pStyle w:val="ListParagraph"/>
                        <w:numPr>
                          <w:ilvl w:val="0"/>
                          <w:numId w:val="5"/>
                        </w:numPr>
                        <w:rPr>
                          <w:rFonts w:ascii="Cambria" w:hAnsi="Cambria"/>
                        </w:rPr>
                      </w:pPr>
                      <w:r>
                        <w:rPr>
                          <w:rFonts w:ascii="Cambria" w:hAnsi="Cambria"/>
                        </w:rPr>
                        <w:t>Income and consumption</w:t>
                      </w:r>
                    </w:p>
                    <w:p w14:paraId="20D4F0A1" w14:textId="3E3C820E" w:rsidR="000C1352" w:rsidRPr="00150271" w:rsidRDefault="000C1352" w:rsidP="006C6CD3">
                      <w:pPr>
                        <w:pStyle w:val="ListParagraph"/>
                        <w:numPr>
                          <w:ilvl w:val="0"/>
                          <w:numId w:val="5"/>
                        </w:numPr>
                        <w:rPr>
                          <w:rFonts w:ascii="Cambria" w:hAnsi="Cambria"/>
                        </w:rPr>
                      </w:pPr>
                      <w:r>
                        <w:rPr>
                          <w:rFonts w:ascii="Cambria" w:hAnsi="Cambria"/>
                        </w:rPr>
                        <w:t>E</w:t>
                      </w:r>
                      <w:r w:rsidRPr="00150271">
                        <w:rPr>
                          <w:rFonts w:ascii="Cambria" w:hAnsi="Cambria"/>
                        </w:rPr>
                        <w:t xml:space="preserve">lasticities </w:t>
                      </w:r>
                    </w:p>
                    <w:p w14:paraId="24201559" w14:textId="77777777" w:rsidR="000C1352" w:rsidRPr="00150271" w:rsidRDefault="000C1352" w:rsidP="006C6CD3">
                      <w:pPr>
                        <w:pStyle w:val="ListParagraph"/>
                        <w:numPr>
                          <w:ilvl w:val="0"/>
                          <w:numId w:val="5"/>
                        </w:numPr>
                        <w:rPr>
                          <w:rFonts w:ascii="Cambria" w:hAnsi="Cambria"/>
                        </w:rPr>
                      </w:pPr>
                      <w:r w:rsidRPr="00150271">
                        <w:rPr>
                          <w:rFonts w:ascii="Cambria" w:hAnsi="Cambria"/>
                        </w:rPr>
                        <w:t>Marginal propensities to consume</w:t>
                      </w:r>
                    </w:p>
                    <w:p w14:paraId="7DDFCE65" w14:textId="77777777" w:rsidR="000C1352" w:rsidRPr="00150271" w:rsidRDefault="000C1352" w:rsidP="006C6CD3">
                      <w:pPr>
                        <w:pStyle w:val="ListParagraph"/>
                        <w:numPr>
                          <w:ilvl w:val="0"/>
                          <w:numId w:val="5"/>
                        </w:numPr>
                        <w:rPr>
                          <w:rFonts w:ascii="Cambria" w:hAnsi="Cambria"/>
                        </w:rPr>
                      </w:pPr>
                      <w:r w:rsidRPr="00150271">
                        <w:rPr>
                          <w:rFonts w:ascii="Cambria" w:hAnsi="Cambria"/>
                        </w:rPr>
                        <w:t>Terms of trade</w:t>
                      </w:r>
                    </w:p>
                    <w:p w14:paraId="51A5943C" w14:textId="77777777" w:rsidR="000C1352" w:rsidRDefault="000C1352" w:rsidP="00EF3D53">
                      <w:pPr>
                        <w:pStyle w:val="ListParagraph"/>
                        <w:numPr>
                          <w:ilvl w:val="0"/>
                          <w:numId w:val="5"/>
                        </w:numPr>
                        <w:rPr>
                          <w:rFonts w:ascii="Cambria" w:hAnsi="Cambria"/>
                        </w:rPr>
                      </w:pPr>
                      <w:r>
                        <w:rPr>
                          <w:rFonts w:ascii="Cambria" w:hAnsi="Cambria"/>
                        </w:rPr>
                        <w:t>Commodities to examine</w:t>
                      </w:r>
                    </w:p>
                    <w:p w14:paraId="0DFDFB72" w14:textId="77777777" w:rsidR="000C1352" w:rsidRPr="00150271" w:rsidRDefault="000C1352" w:rsidP="006C6CD3">
                      <w:pPr>
                        <w:pStyle w:val="ListParagraph"/>
                        <w:rPr>
                          <w:rFonts w:ascii="Cambria" w:hAnsi="Cambria"/>
                        </w:rPr>
                      </w:pPr>
                    </w:p>
                    <w:p w14:paraId="63A3F68A" w14:textId="77777777" w:rsidR="000C1352" w:rsidRPr="00150271" w:rsidRDefault="000C1352" w:rsidP="00AD627C">
                      <w:pPr>
                        <w:rPr>
                          <w:rFonts w:ascii="Cambria" w:hAnsi="Cambria"/>
                        </w:rPr>
                      </w:pPr>
                    </w:p>
                    <w:p w14:paraId="44C31C7B" w14:textId="77777777" w:rsidR="00140DC6" w:rsidRPr="00F3071E" w:rsidRDefault="00140DC6" w:rsidP="00140DC6">
                      <w:pPr>
                        <w:rPr>
                          <w:rFonts w:ascii="Cambria" w:hAnsi="Cambria"/>
                          <w:i/>
                        </w:rPr>
                      </w:pPr>
                      <w:r w:rsidRPr="00F3071E">
                        <w:rPr>
                          <w:rFonts w:ascii="Cambria" w:hAnsi="Cambria"/>
                          <w:i/>
                        </w:rPr>
                        <w:t>Readings</w:t>
                      </w:r>
                    </w:p>
                    <w:p w14:paraId="0C28701B" w14:textId="77777777" w:rsidR="00140DC6" w:rsidRPr="00F3071E" w:rsidRDefault="00140DC6" w:rsidP="00140DC6">
                      <w:pPr>
                        <w:pStyle w:val="ListParagraph"/>
                        <w:numPr>
                          <w:ilvl w:val="0"/>
                          <w:numId w:val="5"/>
                        </w:numPr>
                        <w:rPr>
                          <w:rFonts w:ascii="Cambria" w:hAnsi="Cambria"/>
                        </w:rPr>
                      </w:pPr>
                      <w:proofErr w:type="spellStart"/>
                      <w:r w:rsidRPr="00F3071E">
                        <w:rPr>
                          <w:rFonts w:ascii="Cambria" w:hAnsi="Cambria"/>
                        </w:rPr>
                        <w:t>Timmer</w:t>
                      </w:r>
                      <w:proofErr w:type="spellEnd"/>
                      <w:r w:rsidRPr="00F3071E">
                        <w:rPr>
                          <w:rFonts w:ascii="Cambria" w:hAnsi="Cambria"/>
                        </w:rPr>
                        <w:t xml:space="preserve">, C. P., W.D. Falcon, and S.R. Pearson (1983) </w:t>
                      </w:r>
                      <w:r w:rsidRPr="0031433E">
                        <w:rPr>
                          <w:rFonts w:ascii="Cambria" w:hAnsi="Cambria"/>
                          <w:i/>
                        </w:rPr>
                        <w:t>Food Policy Analysis</w:t>
                      </w:r>
                      <w:r w:rsidRPr="00F3071E">
                        <w:rPr>
                          <w:rFonts w:ascii="Cambria" w:hAnsi="Cambria"/>
                        </w:rPr>
                        <w:t xml:space="preserve">. Baltimore: Johns Hopkins University Press. Pp. 35-60 “Food Consumption Analysis.” </w:t>
                      </w:r>
                      <w:hyperlink r:id="rId12" w:history="1">
                        <w:r w:rsidRPr="00F3071E">
                          <w:rPr>
                            <w:rStyle w:val="Hyperlink"/>
                            <w:rFonts w:ascii="Cambria" w:hAnsi="Cambria"/>
                          </w:rPr>
                          <w:t>http://www.stanford.edu/group/FRI/indonesia/documents/foodpolicy/fronttoc.fm.html</w:t>
                        </w:r>
                      </w:hyperlink>
                    </w:p>
                    <w:p w14:paraId="066171FC" w14:textId="77777777" w:rsidR="00140DC6" w:rsidRPr="00F3071E" w:rsidRDefault="00140DC6" w:rsidP="00140DC6">
                      <w:pPr>
                        <w:pStyle w:val="ListParagraph"/>
                        <w:numPr>
                          <w:ilvl w:val="0"/>
                          <w:numId w:val="5"/>
                        </w:numPr>
                        <w:rPr>
                          <w:rFonts w:ascii="Cambria" w:hAnsi="Cambria"/>
                        </w:rPr>
                      </w:pPr>
                      <w:r w:rsidRPr="00F3071E">
                        <w:rPr>
                          <w:rFonts w:ascii="Cambria" w:hAnsi="Cambria"/>
                        </w:rPr>
                        <w:t xml:space="preserve">World Food Program (2008) “PDPE Market Analysis Tool: Price and Income Elasticities.” </w:t>
                      </w:r>
                      <w:r>
                        <w:rPr>
                          <w:rFonts w:ascii="Cambria" w:hAnsi="Cambria"/>
                          <w:i/>
                        </w:rPr>
                        <w:t xml:space="preserve"> </w:t>
                      </w:r>
                      <w:hyperlink r:id="rId13" w:history="1">
                        <w:r>
                          <w:rPr>
                            <w:rStyle w:val="Hyperlink"/>
                          </w:rPr>
                          <w:t>http://documents.wfp.org/stellent/groups/public/documents/manual_guide_proced/wfp187903.pdf</w:t>
                        </w:r>
                      </w:hyperlink>
                    </w:p>
                    <w:p w14:paraId="635E9089" w14:textId="77777777" w:rsidR="00140DC6" w:rsidRPr="00F3071E" w:rsidRDefault="00140DC6" w:rsidP="00140DC6">
                      <w:pPr>
                        <w:pStyle w:val="ListParagraph"/>
                        <w:numPr>
                          <w:ilvl w:val="0"/>
                          <w:numId w:val="5"/>
                        </w:numPr>
                        <w:rPr>
                          <w:rFonts w:ascii="Cambria" w:hAnsi="Cambria"/>
                        </w:rPr>
                      </w:pPr>
                      <w:r w:rsidRPr="00F3071E">
                        <w:rPr>
                          <w:rFonts w:ascii="Cambria" w:hAnsi="Cambria"/>
                        </w:rPr>
                        <w:t xml:space="preserve">World Food Program (2008) “PDPE Market Analysis Tool: Terms of Trade.” </w:t>
                      </w:r>
                      <w:r>
                        <w:rPr>
                          <w:rFonts w:ascii="Cambria" w:hAnsi="Cambria"/>
                          <w:i/>
                        </w:rPr>
                        <w:t xml:space="preserve"> </w:t>
                      </w:r>
                      <w:hyperlink r:id="rId14" w:history="1">
                        <w:r>
                          <w:rPr>
                            <w:rStyle w:val="Hyperlink"/>
                          </w:rPr>
                          <w:t>http://documents.wfp.org/stellent/groups/public/documents/manual_guide_proced/wfp187906.pdf</w:t>
                        </w:r>
                      </w:hyperlink>
                    </w:p>
                    <w:p w14:paraId="3DDBB641" w14:textId="77777777" w:rsidR="00140DC6" w:rsidRPr="00F3071E" w:rsidRDefault="00140DC6" w:rsidP="00140DC6">
                      <w:pPr>
                        <w:rPr>
                          <w:rFonts w:ascii="Cambria" w:hAnsi="Cambria"/>
                        </w:rPr>
                      </w:pPr>
                    </w:p>
                    <w:p w14:paraId="30EBB754" w14:textId="77777777" w:rsidR="00140DC6" w:rsidRPr="00F3071E" w:rsidRDefault="00140DC6" w:rsidP="00140DC6">
                      <w:pPr>
                        <w:rPr>
                          <w:rFonts w:ascii="Cambria" w:hAnsi="Cambria"/>
                        </w:rPr>
                      </w:pPr>
                    </w:p>
                    <w:p w14:paraId="5DE4D194" w14:textId="77777777" w:rsidR="00140DC6" w:rsidRPr="00F3071E" w:rsidRDefault="00140DC6" w:rsidP="00140DC6">
                      <w:pPr>
                        <w:rPr>
                          <w:rFonts w:ascii="Cambria" w:hAnsi="Cambria"/>
                          <w:i/>
                        </w:rPr>
                      </w:pPr>
                      <w:r w:rsidRPr="00F3071E">
                        <w:rPr>
                          <w:rFonts w:ascii="Cambria" w:hAnsi="Cambria"/>
                          <w:i/>
                        </w:rPr>
                        <w:t>Supplementary Readings:</w:t>
                      </w:r>
                    </w:p>
                    <w:p w14:paraId="2E490038" w14:textId="77777777" w:rsidR="00140DC6" w:rsidRPr="00F3071E" w:rsidRDefault="00140DC6" w:rsidP="00140DC6">
                      <w:pPr>
                        <w:rPr>
                          <w:rFonts w:ascii="Cambria" w:hAnsi="Cambria"/>
                          <w:i/>
                        </w:rPr>
                      </w:pPr>
                      <w:r w:rsidRPr="00F3071E">
                        <w:rPr>
                          <w:rFonts w:ascii="Cambria" w:hAnsi="Cambria"/>
                          <w:i/>
                        </w:rPr>
                        <w:t>Tools for Primary Data Analysis</w:t>
                      </w:r>
                    </w:p>
                    <w:p w14:paraId="419A3BEF" w14:textId="77777777" w:rsidR="00140DC6" w:rsidRPr="00F3071E" w:rsidRDefault="00140DC6" w:rsidP="00140DC6">
                      <w:pPr>
                        <w:pStyle w:val="ListParagraph"/>
                        <w:numPr>
                          <w:ilvl w:val="0"/>
                          <w:numId w:val="5"/>
                        </w:numPr>
                        <w:rPr>
                          <w:rStyle w:val="HTMLCite"/>
                          <w:rFonts w:ascii="Cambria" w:hAnsi="Cambria"/>
                        </w:rPr>
                      </w:pPr>
                      <w:r w:rsidRPr="00F3071E">
                        <w:rPr>
                          <w:rFonts w:ascii="Cambria" w:hAnsi="Cambria"/>
                        </w:rPr>
                        <w:t xml:space="preserve">Kumar, K. (1989) “Conducting Key Informant Interviews in Developing Countries.” AID Program Design and Evaluation Methodology Report No. 13. </w:t>
                      </w:r>
                      <w:hyperlink r:id="rId15" w:history="1">
                        <w:r>
                          <w:rPr>
                            <w:rStyle w:val="Hyperlink"/>
                          </w:rPr>
                          <w:t>http://pdf.usaid.gov/pdf_docs/PNAAX226.PDF</w:t>
                        </w:r>
                      </w:hyperlink>
                    </w:p>
                    <w:p w14:paraId="28B622A8" w14:textId="77777777" w:rsidR="000C1352" w:rsidRPr="0029588B" w:rsidRDefault="000C1352" w:rsidP="00CB6779">
                      <w:pPr>
                        <w:pStyle w:val="ListParagraph"/>
                        <w:rPr>
                          <w:rFonts w:ascii="Cambria" w:hAnsi="Cambria"/>
                        </w:rPr>
                      </w:pPr>
                    </w:p>
                    <w:p w14:paraId="6E5C5045" w14:textId="77777777" w:rsidR="000C1352" w:rsidRPr="003F095A" w:rsidRDefault="000C1352" w:rsidP="00AD627C">
                      <w:pPr>
                        <w:ind w:left="360"/>
                        <w:rPr>
                          <w:rFonts w:ascii="Cambria" w:hAnsi="Cambria"/>
                        </w:rPr>
                      </w:pPr>
                    </w:p>
                    <w:bookmarkEnd w:id="2"/>
                  </w:txbxContent>
                </v:textbox>
                <w10:wrap type="tight"/>
              </v:shape>
            </w:pict>
          </mc:Fallback>
        </mc:AlternateContent>
      </w:r>
    </w:p>
    <w:p w14:paraId="1EF95AE7" w14:textId="77777777" w:rsidR="005601DA" w:rsidRPr="000A4A98" w:rsidRDefault="005601DA" w:rsidP="006D474E">
      <w:pPr>
        <w:rPr>
          <w:rFonts w:ascii="Cambria" w:hAnsi="Cambria"/>
          <w:b/>
        </w:rPr>
      </w:pPr>
    </w:p>
    <w:p w14:paraId="2864A02F" w14:textId="3530874A" w:rsidR="007A52CC" w:rsidRPr="00FA5276" w:rsidRDefault="00E86E9C" w:rsidP="005601DA">
      <w:pPr>
        <w:rPr>
          <w:rFonts w:ascii="Cambria" w:hAnsi="Cambria"/>
          <w:b/>
        </w:rPr>
      </w:pPr>
      <w:r w:rsidRPr="001803FB">
        <w:rPr>
          <w:rFonts w:ascii="Cambria" w:hAnsi="Cambria"/>
          <w:b/>
        </w:rPr>
        <w:t>Introduction to markets</w:t>
      </w:r>
      <w:r w:rsidR="001C5513" w:rsidRPr="001803FB">
        <w:rPr>
          <w:rFonts w:ascii="Cambria" w:hAnsi="Cambria"/>
          <w:b/>
        </w:rPr>
        <w:t xml:space="preserve"> and</w:t>
      </w:r>
      <w:r w:rsidR="005601DA" w:rsidRPr="001803FB">
        <w:rPr>
          <w:rFonts w:ascii="Cambria" w:hAnsi="Cambria"/>
          <w:b/>
        </w:rPr>
        <w:t xml:space="preserve"> consum</w:t>
      </w:r>
      <w:r w:rsidRPr="001803FB">
        <w:rPr>
          <w:rFonts w:ascii="Cambria" w:hAnsi="Cambria"/>
          <w:b/>
        </w:rPr>
        <w:t>er demand</w:t>
      </w:r>
    </w:p>
    <w:p w14:paraId="107ACC24" w14:textId="07FFDED4" w:rsidR="005601DA" w:rsidRPr="00DE3BB6" w:rsidRDefault="00DE3BB6" w:rsidP="006D474E">
      <w:pPr>
        <w:rPr>
          <w:rFonts w:ascii="Cambria" w:hAnsi="Cambria"/>
        </w:rPr>
      </w:pPr>
      <w:r>
        <w:rPr>
          <w:rFonts w:ascii="Cambria" w:hAnsi="Cambria"/>
        </w:rPr>
        <w:t>In this lecture, we analyze</w:t>
      </w:r>
      <w:r w:rsidR="001C5513" w:rsidRPr="000A4A98">
        <w:rPr>
          <w:rFonts w:ascii="Cambria" w:hAnsi="Cambria"/>
        </w:rPr>
        <w:t xml:space="preserve"> consumers’ utilization of markets. We first </w:t>
      </w:r>
      <w:r w:rsidR="00B35124">
        <w:rPr>
          <w:rFonts w:ascii="Cambria" w:hAnsi="Cambria"/>
        </w:rPr>
        <w:t>examine</w:t>
      </w:r>
      <w:r w:rsidR="001C5513" w:rsidRPr="000A4A98">
        <w:rPr>
          <w:rFonts w:ascii="Cambria" w:hAnsi="Cambria"/>
        </w:rPr>
        <w:t xml:space="preserve"> how households interact with markets</w:t>
      </w:r>
      <w:r w:rsidR="00FA114B" w:rsidRPr="000A4A98">
        <w:rPr>
          <w:rFonts w:ascii="Cambria" w:hAnsi="Cambria"/>
        </w:rPr>
        <w:t>, which we term “access”</w:t>
      </w:r>
      <w:r w:rsidR="001C5513" w:rsidRPr="000A4A98">
        <w:rPr>
          <w:rFonts w:ascii="Cambria" w:hAnsi="Cambria"/>
        </w:rPr>
        <w:t xml:space="preserve">. </w:t>
      </w:r>
      <w:r>
        <w:rPr>
          <w:rFonts w:ascii="Cambria" w:hAnsi="Cambria"/>
        </w:rPr>
        <w:t xml:space="preserve"> </w:t>
      </w:r>
      <w:r w:rsidR="001C5513" w:rsidRPr="000A4A98">
        <w:rPr>
          <w:rFonts w:ascii="Cambria" w:hAnsi="Cambria"/>
        </w:rPr>
        <w:t xml:space="preserve">We then </w:t>
      </w:r>
      <w:r w:rsidR="00C1180A" w:rsidRPr="000A4A98">
        <w:rPr>
          <w:rFonts w:ascii="Cambria" w:hAnsi="Cambria"/>
        </w:rPr>
        <w:t>discuss</w:t>
      </w:r>
      <w:r w:rsidR="001C5513" w:rsidRPr="000A4A98">
        <w:rPr>
          <w:rFonts w:ascii="Cambria" w:hAnsi="Cambria"/>
        </w:rPr>
        <w:t xml:space="preserve"> preferences</w:t>
      </w:r>
      <w:r w:rsidR="00312A63" w:rsidRPr="000A4A98">
        <w:rPr>
          <w:rFonts w:ascii="Cambria" w:hAnsi="Cambria"/>
        </w:rPr>
        <w:t>, which can clarify</w:t>
      </w:r>
      <w:r w:rsidR="001C5513" w:rsidRPr="000A4A98">
        <w:rPr>
          <w:rFonts w:ascii="Cambria" w:hAnsi="Cambria"/>
        </w:rPr>
        <w:t xml:space="preserve"> which transfers will be most appealing to households. </w:t>
      </w:r>
      <w:r w:rsidR="008F3E80" w:rsidRPr="000A4A98">
        <w:rPr>
          <w:rFonts w:ascii="Cambria" w:hAnsi="Cambria"/>
        </w:rPr>
        <w:t xml:space="preserve">We </w:t>
      </w:r>
      <w:r w:rsidR="006D249D">
        <w:rPr>
          <w:rFonts w:ascii="Cambria" w:hAnsi="Cambria"/>
        </w:rPr>
        <w:t>also</w:t>
      </w:r>
      <w:r w:rsidR="00A06396">
        <w:rPr>
          <w:rFonts w:ascii="Cambria" w:hAnsi="Cambria"/>
        </w:rPr>
        <w:t xml:space="preserve"> assess</w:t>
      </w:r>
      <w:r w:rsidR="008F3E80" w:rsidRPr="000A4A98">
        <w:rPr>
          <w:rFonts w:ascii="Cambria" w:hAnsi="Cambria"/>
        </w:rPr>
        <w:t xml:space="preserve"> demand stimulus created by transfers as a first step in computing the likelihood of food price increases. The relative size of the transfer, the form of the transfer, and the ability to target effectively all shift the demand curve. </w:t>
      </w:r>
      <w:r w:rsidR="008647BC" w:rsidRPr="000A4A98">
        <w:rPr>
          <w:rFonts w:ascii="Cambria" w:hAnsi="Cambria"/>
        </w:rPr>
        <w:t xml:space="preserve">How much </w:t>
      </w:r>
      <w:r w:rsidR="008647BC" w:rsidRPr="000A4A98">
        <w:rPr>
          <w:rFonts w:ascii="Cambria" w:hAnsi="Cambria"/>
        </w:rPr>
        <w:lastRenderedPageBreak/>
        <w:t xml:space="preserve">transfer recipients increase their demand for food depends on the relevant income elasticity of demand and on the resulting size of the shift in the demand curve.  </w:t>
      </w:r>
      <w:r w:rsidR="00082201">
        <w:rPr>
          <w:rFonts w:ascii="Cambria" w:hAnsi="Cambria"/>
        </w:rPr>
        <w:t>Demand</w:t>
      </w:r>
      <w:r w:rsidR="000F6074" w:rsidRPr="000A4A98">
        <w:rPr>
          <w:rFonts w:ascii="Cambria" w:hAnsi="Cambria"/>
        </w:rPr>
        <w:t xml:space="preserve"> and income </w:t>
      </w:r>
      <w:r w:rsidR="00C1180A" w:rsidRPr="000A4A98">
        <w:rPr>
          <w:rFonts w:ascii="Cambria" w:hAnsi="Cambria"/>
        </w:rPr>
        <w:t>elasticities</w:t>
      </w:r>
      <w:r w:rsidR="000F6074" w:rsidRPr="000A4A98">
        <w:rPr>
          <w:rFonts w:ascii="Cambria" w:hAnsi="Cambria"/>
        </w:rPr>
        <w:t xml:space="preserve"> and the marginal propensity to consume</w:t>
      </w:r>
      <w:r w:rsidR="00C1180A" w:rsidRPr="000A4A98">
        <w:rPr>
          <w:rFonts w:ascii="Cambria" w:hAnsi="Cambria"/>
        </w:rPr>
        <w:t xml:space="preserve"> </w:t>
      </w:r>
      <w:r w:rsidR="00082201">
        <w:rPr>
          <w:rFonts w:ascii="Cambria" w:hAnsi="Cambria"/>
        </w:rPr>
        <w:t xml:space="preserve">show </w:t>
      </w:r>
      <w:r w:rsidR="005601DA" w:rsidRPr="000A4A98">
        <w:rPr>
          <w:rFonts w:ascii="Cambria" w:hAnsi="Cambria"/>
        </w:rPr>
        <w:t>how changes in income and changes in prices affect consumption decisions.</w:t>
      </w:r>
      <w:r w:rsidR="00202B64" w:rsidRPr="000A4A98">
        <w:rPr>
          <w:rFonts w:ascii="Cambria" w:hAnsi="Cambria"/>
        </w:rPr>
        <w:t xml:space="preserve"> </w:t>
      </w:r>
      <w:r w:rsidR="007D204F" w:rsidRPr="000A4A98">
        <w:rPr>
          <w:rFonts w:ascii="Cambria" w:hAnsi="Cambria"/>
        </w:rPr>
        <w:t>Terms of trade</w:t>
      </w:r>
      <w:r w:rsidR="0001450D">
        <w:rPr>
          <w:rFonts w:ascii="Cambria" w:hAnsi="Cambria"/>
        </w:rPr>
        <w:t xml:space="preserve">, the ratios of </w:t>
      </w:r>
      <w:r w:rsidR="0001450D" w:rsidRPr="000A4A98">
        <w:rPr>
          <w:rFonts w:ascii="Cambria" w:hAnsi="Cambria"/>
        </w:rPr>
        <w:t>prices of key commodities and sources of income (e.g., day-wages)</w:t>
      </w:r>
      <w:r w:rsidR="0001450D">
        <w:rPr>
          <w:rFonts w:ascii="Cambria" w:hAnsi="Cambria"/>
        </w:rPr>
        <w:t>,</w:t>
      </w:r>
      <w:r w:rsidR="007D204F" w:rsidRPr="000A4A98">
        <w:rPr>
          <w:rFonts w:ascii="Cambria" w:hAnsi="Cambria"/>
        </w:rPr>
        <w:t xml:space="preserve"> </w:t>
      </w:r>
      <w:r w:rsidR="0001450D">
        <w:rPr>
          <w:rFonts w:ascii="Cambria" w:hAnsi="Cambria"/>
        </w:rPr>
        <w:t>capture</w:t>
      </w:r>
      <w:r w:rsidR="007D204F" w:rsidRPr="000A4A98">
        <w:rPr>
          <w:rFonts w:ascii="Cambria" w:hAnsi="Cambria"/>
        </w:rPr>
        <w:t xml:space="preserve"> changes in household purchasing power. </w:t>
      </w:r>
      <w:r w:rsidR="007863E3" w:rsidRPr="000A4A98">
        <w:rPr>
          <w:rFonts w:ascii="Cambria" w:hAnsi="Cambria"/>
        </w:rPr>
        <w:t>Lastly, we describe</w:t>
      </w:r>
      <w:r w:rsidR="00B36122" w:rsidRPr="000A4A98">
        <w:rPr>
          <w:rFonts w:ascii="Cambria" w:hAnsi="Cambria"/>
        </w:rPr>
        <w:t xml:space="preserve"> how to identify and narrow the range of commodities to analyze in detail.</w:t>
      </w:r>
    </w:p>
    <w:p w14:paraId="7AECDDE2" w14:textId="77777777" w:rsidR="00F91041" w:rsidRPr="000A4A98" w:rsidRDefault="00F91041" w:rsidP="006D474E">
      <w:pPr>
        <w:rPr>
          <w:rFonts w:ascii="Cambria" w:hAnsi="Cambria"/>
        </w:rPr>
      </w:pPr>
    </w:p>
    <w:p w14:paraId="06C95CF4" w14:textId="7929348D" w:rsidR="00CC1854" w:rsidRDefault="00CC1854" w:rsidP="007C7F78">
      <w:pPr>
        <w:rPr>
          <w:rFonts w:ascii="Cambria" w:hAnsi="Cambria"/>
          <w:i/>
          <w:u w:val="single"/>
        </w:rPr>
      </w:pPr>
      <w:r w:rsidRPr="00721C3A">
        <w:rPr>
          <w:i/>
          <w:u w:val="single"/>
        </w:rPr>
        <w:t>How does the analytic assist in answering th</w:t>
      </w:r>
      <w:r>
        <w:rPr>
          <w:i/>
          <w:u w:val="single"/>
        </w:rPr>
        <w:t>e relevant MIFIRA sub-question(s)?</w:t>
      </w:r>
    </w:p>
    <w:p w14:paraId="69071B20" w14:textId="5DE382DA" w:rsidR="007C7F78" w:rsidRPr="00CC1854" w:rsidRDefault="003D106D" w:rsidP="007C7F78">
      <w:pPr>
        <w:rPr>
          <w:rFonts w:ascii="Cambria" w:hAnsi="Cambria"/>
        </w:rPr>
      </w:pPr>
      <w:r>
        <w:rPr>
          <w:rFonts w:ascii="Cambria" w:hAnsi="Cambria"/>
        </w:rPr>
        <w:t xml:space="preserve">In order to assess market functioning, we need to understand how </w:t>
      </w:r>
      <w:r w:rsidR="00D46B8F">
        <w:rPr>
          <w:rFonts w:ascii="Cambria" w:hAnsi="Cambria"/>
        </w:rPr>
        <w:t xml:space="preserve">transfer recipients </w:t>
      </w:r>
      <w:r>
        <w:rPr>
          <w:rFonts w:ascii="Cambria" w:hAnsi="Cambria"/>
        </w:rPr>
        <w:t>will respond to transfer.</w:t>
      </w:r>
      <w:r w:rsidR="00D46B8F">
        <w:rPr>
          <w:rFonts w:ascii="Cambria" w:hAnsi="Cambria"/>
        </w:rPr>
        <w:t xml:space="preserve"> Recipient d</w:t>
      </w:r>
      <w:r w:rsidR="00396092">
        <w:rPr>
          <w:rFonts w:ascii="Cambria" w:hAnsi="Cambria"/>
        </w:rPr>
        <w:t xml:space="preserve">emand is shaped by several factors, </w:t>
      </w:r>
      <w:r w:rsidR="00D46B8F">
        <w:rPr>
          <w:rFonts w:ascii="Cambria" w:hAnsi="Cambria"/>
        </w:rPr>
        <w:t xml:space="preserve">including recipient access to markets, preferences, elasticities, terms of trade, and the type of commodities regularly purchased from markets. </w:t>
      </w:r>
      <w:r w:rsidR="00CA05F4">
        <w:rPr>
          <w:rFonts w:ascii="Cambria" w:hAnsi="Cambria"/>
        </w:rPr>
        <w:t>Several</w:t>
      </w:r>
      <w:r w:rsidR="007C7F78" w:rsidRPr="00CC1854">
        <w:rPr>
          <w:rFonts w:ascii="Cambria" w:hAnsi="Cambria"/>
        </w:rPr>
        <w:t xml:space="preserve"> MIFIRA sub-questions</w:t>
      </w:r>
      <w:r w:rsidR="00CA05F4">
        <w:rPr>
          <w:rFonts w:ascii="Cambria" w:hAnsi="Cambria"/>
        </w:rPr>
        <w:t xml:space="preserve"> examine household demand.</w:t>
      </w:r>
    </w:p>
    <w:p w14:paraId="21AF9C2C" w14:textId="77777777" w:rsidR="007C7F78" w:rsidRPr="000A4A98" w:rsidRDefault="007C7F78" w:rsidP="006D474E">
      <w:pPr>
        <w:rPr>
          <w:rFonts w:ascii="Cambria" w:hAnsi="Cambria"/>
        </w:rPr>
      </w:pPr>
    </w:p>
    <w:p w14:paraId="21D4308C" w14:textId="77777777" w:rsidR="0096567A" w:rsidRPr="000A4A98" w:rsidRDefault="0096567A" w:rsidP="0096567A">
      <w:pPr>
        <w:rPr>
          <w:rFonts w:ascii="Cambria" w:hAnsi="Cambria"/>
          <w:i/>
        </w:rPr>
      </w:pPr>
      <w:r w:rsidRPr="000A4A98">
        <w:rPr>
          <w:rFonts w:ascii="Cambria" w:hAnsi="Cambria"/>
          <w:i/>
        </w:rPr>
        <w:t>1a. Are food insecure households well connected to local markets?</w:t>
      </w:r>
    </w:p>
    <w:p w14:paraId="506D64AB" w14:textId="77777777" w:rsidR="00AF797F" w:rsidRDefault="00CA05F4" w:rsidP="0096567A">
      <w:pPr>
        <w:pStyle w:val="ListParagraph"/>
        <w:ind w:left="0"/>
        <w:rPr>
          <w:rFonts w:ascii="Cambria" w:hAnsi="Cambria"/>
        </w:rPr>
      </w:pPr>
      <w:r>
        <w:rPr>
          <w:rFonts w:ascii="Cambria" w:hAnsi="Cambria"/>
        </w:rPr>
        <w:t>H</w:t>
      </w:r>
      <w:r w:rsidR="007C7F78" w:rsidRPr="000A4A98">
        <w:rPr>
          <w:rFonts w:ascii="Cambria" w:hAnsi="Cambria"/>
        </w:rPr>
        <w:t xml:space="preserve">ouseholds and communities may be excluded from markets or have limited ability or opportunity to reach markets.  </w:t>
      </w:r>
    </w:p>
    <w:p w14:paraId="01892900" w14:textId="77777777" w:rsidR="0096567A" w:rsidRPr="000A4A98" w:rsidRDefault="0096567A" w:rsidP="0096567A">
      <w:pPr>
        <w:rPr>
          <w:rFonts w:ascii="Cambria" w:hAnsi="Cambria"/>
        </w:rPr>
      </w:pPr>
    </w:p>
    <w:p w14:paraId="05F68632" w14:textId="77777777" w:rsidR="0096567A" w:rsidRPr="000A4A98" w:rsidRDefault="0096567A" w:rsidP="0096567A">
      <w:pPr>
        <w:pStyle w:val="ListParagraph"/>
        <w:ind w:left="0"/>
        <w:rPr>
          <w:rFonts w:ascii="Cambria" w:hAnsi="Cambria"/>
          <w:i/>
        </w:rPr>
      </w:pPr>
      <w:r w:rsidRPr="000A4A98">
        <w:rPr>
          <w:rFonts w:ascii="Cambria" w:hAnsi="Cambria"/>
          <w:i/>
        </w:rPr>
        <w:t>1b. How will local demand respond to transfers?</w:t>
      </w:r>
    </w:p>
    <w:p w14:paraId="5D86F18C" w14:textId="33E4CE27" w:rsidR="0096567A" w:rsidRPr="000A4A98" w:rsidRDefault="00613961" w:rsidP="0096567A">
      <w:pPr>
        <w:pStyle w:val="ListParagraph"/>
        <w:ind w:left="0"/>
        <w:rPr>
          <w:rFonts w:ascii="Cambria" w:hAnsi="Cambria"/>
        </w:rPr>
      </w:pPr>
      <w:r w:rsidRPr="000A4A98">
        <w:rPr>
          <w:rFonts w:ascii="Cambria" w:hAnsi="Cambria"/>
        </w:rPr>
        <w:t>Consumption measures can provide insight into individual and household reliance on markets for food.</w:t>
      </w:r>
      <w:r>
        <w:rPr>
          <w:rFonts w:ascii="Cambria" w:hAnsi="Cambria"/>
        </w:rPr>
        <w:t xml:space="preserve"> </w:t>
      </w:r>
      <w:r w:rsidRPr="000A4A98">
        <w:rPr>
          <w:rFonts w:ascii="Cambria" w:hAnsi="Cambria"/>
        </w:rPr>
        <w:t>We can estimate the likely increases in demand using the elasticity of demand.</w:t>
      </w:r>
      <w:r w:rsidR="00F92CAE">
        <w:rPr>
          <w:rFonts w:ascii="Cambria" w:hAnsi="Cambria"/>
        </w:rPr>
        <w:t xml:space="preserve"> </w:t>
      </w:r>
      <w:r w:rsidR="0096567A" w:rsidRPr="000A4A98">
        <w:rPr>
          <w:rFonts w:ascii="Cambria" w:hAnsi="Cambria"/>
        </w:rPr>
        <w:t xml:space="preserve">Larger increases in demand will require greater increases in supply and possibly stimulate greater price increases, which will tend to hurt food insecure households, especially those not receiving transfers. </w:t>
      </w:r>
    </w:p>
    <w:p w14:paraId="00813B01" w14:textId="77777777" w:rsidR="00BA1CDC" w:rsidRPr="000A4A98" w:rsidRDefault="00BA1CDC" w:rsidP="0096567A">
      <w:pPr>
        <w:pStyle w:val="ListParagraph"/>
        <w:ind w:left="0"/>
        <w:rPr>
          <w:rFonts w:ascii="Cambria" w:hAnsi="Cambria"/>
        </w:rPr>
      </w:pPr>
    </w:p>
    <w:p w14:paraId="6C76E177" w14:textId="602C30C6" w:rsidR="00BA1CDC" w:rsidRPr="000A4A98" w:rsidRDefault="00BA1CDC" w:rsidP="0096567A">
      <w:pPr>
        <w:pStyle w:val="ListParagraph"/>
        <w:ind w:left="0"/>
        <w:rPr>
          <w:rFonts w:ascii="Cambria" w:hAnsi="Cambria"/>
          <w:i/>
        </w:rPr>
      </w:pPr>
      <w:r w:rsidRPr="000A4A98">
        <w:rPr>
          <w:rFonts w:ascii="Cambria" w:hAnsi="Cambria"/>
          <w:i/>
        </w:rPr>
        <w:t>1e. Do food insecure households have a preference over the form/mix of aid they receive?</w:t>
      </w:r>
    </w:p>
    <w:p w14:paraId="78C13E7F" w14:textId="609367B9" w:rsidR="00BA1CDC" w:rsidRPr="000A4A98" w:rsidRDefault="00F96055" w:rsidP="0096567A">
      <w:pPr>
        <w:pStyle w:val="ListParagraph"/>
        <w:ind w:left="0"/>
        <w:rPr>
          <w:rFonts w:ascii="Cambria" w:hAnsi="Cambria"/>
        </w:rPr>
      </w:pPr>
      <w:r w:rsidRPr="000A4A98">
        <w:rPr>
          <w:rFonts w:ascii="Cambria" w:hAnsi="Cambria"/>
        </w:rPr>
        <w:t>E</w:t>
      </w:r>
      <w:r w:rsidR="00BA1CDC" w:rsidRPr="000A4A98">
        <w:rPr>
          <w:rFonts w:ascii="Cambria" w:hAnsi="Cambria"/>
        </w:rPr>
        <w:t>liciting recipients’ preferences provides an opportunity for analysts to learn about issues and concerns that households or individuals have about different forms of transfers</w:t>
      </w:r>
      <w:r w:rsidR="00F92CAE">
        <w:rPr>
          <w:rFonts w:ascii="Cambria" w:hAnsi="Cambria"/>
        </w:rPr>
        <w:t>.</w:t>
      </w:r>
    </w:p>
    <w:p w14:paraId="1CED74D7" w14:textId="77777777" w:rsidR="0096567A" w:rsidRPr="000A4A98" w:rsidRDefault="0096567A" w:rsidP="0096567A">
      <w:pPr>
        <w:pStyle w:val="ListParagraph"/>
        <w:ind w:left="0"/>
        <w:rPr>
          <w:rFonts w:ascii="Cambria" w:hAnsi="Cambria"/>
        </w:rPr>
      </w:pPr>
    </w:p>
    <w:p w14:paraId="5CA822B0" w14:textId="77777777" w:rsidR="0096567A" w:rsidRPr="000A4A98" w:rsidRDefault="0096567A" w:rsidP="0096567A">
      <w:pPr>
        <w:pStyle w:val="ListParagraph"/>
        <w:ind w:left="0"/>
        <w:rPr>
          <w:rFonts w:ascii="Cambria" w:hAnsi="Cambria"/>
          <w:i/>
        </w:rPr>
      </w:pPr>
      <w:r w:rsidRPr="000A4A98">
        <w:rPr>
          <w:rFonts w:ascii="Cambria" w:hAnsi="Cambria"/>
          <w:i/>
        </w:rPr>
        <w:t>2c. Will local or regional purchases affect producer prices differently than transoceanic shipments?</w:t>
      </w:r>
    </w:p>
    <w:p w14:paraId="20EC3C5B" w14:textId="6B1846AF" w:rsidR="0096567A" w:rsidRPr="000A4A98" w:rsidRDefault="0096567A" w:rsidP="006D474E">
      <w:pPr>
        <w:rPr>
          <w:rFonts w:ascii="Cambria" w:hAnsi="Cambria"/>
        </w:rPr>
      </w:pPr>
      <w:r w:rsidRPr="000A4A98">
        <w:rPr>
          <w:rFonts w:ascii="Cambria" w:hAnsi="Cambria"/>
        </w:rPr>
        <w:t>Locally or regionally procured aid and transoceanic shipments can potentially differently influence local recipient market conditions. Estimates of seasonality in income elasticity of demand, cross price elasticities of demand, and inverse price elasticities of demand can help estimate whether transoceanic delivery versus LRP could have differential effects on producer prices in the delivery market due to the timing of del</w:t>
      </w:r>
      <w:r w:rsidR="00780F52" w:rsidRPr="000A4A98">
        <w:rPr>
          <w:rFonts w:ascii="Cambria" w:hAnsi="Cambria"/>
        </w:rPr>
        <w:t>ivery or the type of commodity.</w:t>
      </w:r>
    </w:p>
    <w:p w14:paraId="61C63F96" w14:textId="77777777" w:rsidR="00B36122" w:rsidRPr="000A4A98" w:rsidRDefault="00B36122" w:rsidP="006D474E">
      <w:pPr>
        <w:rPr>
          <w:rFonts w:ascii="Cambria" w:hAnsi="Cambria"/>
          <w:b/>
        </w:rPr>
      </w:pPr>
    </w:p>
    <w:p w14:paraId="0120950A" w14:textId="2A9E1F3C" w:rsidR="006D474E" w:rsidRPr="000A4A98" w:rsidRDefault="0024626C" w:rsidP="006D474E">
      <w:pPr>
        <w:rPr>
          <w:rFonts w:ascii="Cambria" w:hAnsi="Cambria"/>
          <w:b/>
        </w:rPr>
      </w:pPr>
      <w:r w:rsidRPr="000A4A98">
        <w:rPr>
          <w:rFonts w:ascii="Cambria" w:hAnsi="Cambria"/>
          <w:b/>
        </w:rPr>
        <w:t>M</w:t>
      </w:r>
      <w:r w:rsidR="00F0019B" w:rsidRPr="000A4A98">
        <w:rPr>
          <w:rFonts w:ascii="Cambria" w:hAnsi="Cambria"/>
          <w:b/>
        </w:rPr>
        <w:t xml:space="preserve">arket </w:t>
      </w:r>
      <w:r w:rsidR="001F2307" w:rsidRPr="000A4A98">
        <w:rPr>
          <w:rFonts w:ascii="Cambria" w:hAnsi="Cambria"/>
          <w:b/>
        </w:rPr>
        <w:t>a</w:t>
      </w:r>
      <w:r w:rsidR="006D474E" w:rsidRPr="000A4A98">
        <w:rPr>
          <w:rFonts w:ascii="Cambria" w:hAnsi="Cambria"/>
          <w:b/>
        </w:rPr>
        <w:t>ccess</w:t>
      </w:r>
      <w:r w:rsidR="001F2307" w:rsidRPr="000A4A98">
        <w:rPr>
          <w:rFonts w:ascii="Cambria" w:hAnsi="Cambria"/>
          <w:b/>
        </w:rPr>
        <w:t xml:space="preserve"> </w:t>
      </w:r>
    </w:p>
    <w:p w14:paraId="760B71C9" w14:textId="77777777" w:rsidR="004B3E29" w:rsidRDefault="00002505" w:rsidP="00002505">
      <w:pPr>
        <w:tabs>
          <w:tab w:val="num" w:pos="810"/>
        </w:tabs>
        <w:rPr>
          <w:rFonts w:ascii="Cambria" w:hAnsi="Cambria"/>
        </w:rPr>
      </w:pPr>
      <w:r w:rsidRPr="000A4A98">
        <w:rPr>
          <w:rFonts w:ascii="Cambria" w:hAnsi="Cambria"/>
        </w:rPr>
        <w:t xml:space="preserve">Donovan et al. (2006) argue that a high pre-crisis level of local household-level market participation is an indicator of strong and well-functioning markets. Note that market participation </w:t>
      </w:r>
      <w:r w:rsidR="000A4A98" w:rsidRPr="000A4A98">
        <w:rPr>
          <w:rFonts w:ascii="Cambria" w:hAnsi="Cambria"/>
        </w:rPr>
        <w:t>includes purchases</w:t>
      </w:r>
      <w:r w:rsidRPr="000A4A98">
        <w:rPr>
          <w:rFonts w:ascii="Cambria" w:hAnsi="Cambria"/>
        </w:rPr>
        <w:t xml:space="preserve"> from street vendors, itinerant traders, and others, not just those from formal retail outlets. </w:t>
      </w:r>
    </w:p>
    <w:p w14:paraId="79547445" w14:textId="77777777" w:rsidR="00002505" w:rsidRPr="000A4A98" w:rsidRDefault="00002505" w:rsidP="007C0038">
      <w:pPr>
        <w:tabs>
          <w:tab w:val="left" w:pos="360"/>
          <w:tab w:val="left" w:pos="720"/>
        </w:tabs>
        <w:rPr>
          <w:rFonts w:ascii="Cambria" w:hAnsi="Cambria"/>
        </w:rPr>
      </w:pPr>
    </w:p>
    <w:p w14:paraId="46088DA8" w14:textId="454A550B" w:rsidR="007C0038" w:rsidRPr="000A4A98" w:rsidRDefault="006D474E" w:rsidP="007C0038">
      <w:pPr>
        <w:tabs>
          <w:tab w:val="left" w:pos="360"/>
          <w:tab w:val="left" w:pos="720"/>
        </w:tabs>
        <w:rPr>
          <w:rFonts w:ascii="Cambria" w:hAnsi="Cambria"/>
        </w:rPr>
      </w:pPr>
      <w:r w:rsidRPr="000A4A98">
        <w:rPr>
          <w:rFonts w:ascii="Cambria" w:hAnsi="Cambria"/>
        </w:rPr>
        <w:t xml:space="preserve">The first step in assessing households’ </w:t>
      </w:r>
      <w:r w:rsidR="004B3E29">
        <w:rPr>
          <w:rFonts w:ascii="Cambria" w:hAnsi="Cambria"/>
        </w:rPr>
        <w:t>market participation</w:t>
      </w:r>
      <w:r w:rsidRPr="000A4A98">
        <w:rPr>
          <w:rFonts w:ascii="Cambria" w:hAnsi="Cambria"/>
        </w:rPr>
        <w:t xml:space="preserve"> is to </w:t>
      </w:r>
      <w:r w:rsidR="001765BF" w:rsidRPr="000A4A98">
        <w:rPr>
          <w:rFonts w:ascii="Cambria" w:hAnsi="Cambria"/>
        </w:rPr>
        <w:t>understand</w:t>
      </w:r>
      <w:r w:rsidR="003D1B5A">
        <w:rPr>
          <w:rFonts w:ascii="Cambria" w:hAnsi="Cambria"/>
        </w:rPr>
        <w:t xml:space="preserve"> which</w:t>
      </w:r>
      <w:r w:rsidRPr="000A4A98">
        <w:rPr>
          <w:rFonts w:ascii="Cambria" w:hAnsi="Cambria"/>
        </w:rPr>
        <w:t xml:space="preserve"> markets households use, what they use the markets for, and at what time of year markets are most needed. </w:t>
      </w:r>
      <w:r w:rsidR="007C0038" w:rsidRPr="000A4A98">
        <w:rPr>
          <w:rFonts w:ascii="Cambria" w:hAnsi="Cambria"/>
        </w:rPr>
        <w:t>If households are not actively engaged in markets – or if they face restricted product access or discriminatory pricing – because of social exclusion, physical distance, noncompetitive trader behavior or some other factor(s) -- then cash for market purchases may not be especially effective at improving food access.</w:t>
      </w:r>
    </w:p>
    <w:p w14:paraId="2381A8F4" w14:textId="77777777" w:rsidR="006D474E" w:rsidRPr="000A4A98" w:rsidRDefault="006D474E" w:rsidP="006D474E">
      <w:pPr>
        <w:rPr>
          <w:rFonts w:ascii="Cambria" w:hAnsi="Cambria"/>
        </w:rPr>
      </w:pPr>
    </w:p>
    <w:p w14:paraId="403B6A50" w14:textId="78627400" w:rsidR="006D474E" w:rsidRPr="000A4A98" w:rsidRDefault="00F90FD3" w:rsidP="006D474E">
      <w:pPr>
        <w:rPr>
          <w:rFonts w:ascii="Cambria" w:hAnsi="Cambria"/>
        </w:rPr>
      </w:pPr>
      <w:r>
        <w:rPr>
          <w:rFonts w:ascii="Cambria" w:hAnsi="Cambria"/>
        </w:rPr>
        <w:t>Constrained a</w:t>
      </w:r>
      <w:r w:rsidR="006D474E" w:rsidRPr="000A4A98">
        <w:rPr>
          <w:rFonts w:ascii="Cambria" w:hAnsi="Cambria"/>
        </w:rPr>
        <w:t>ccess to markets can be divided into two loose categories: inter-community constraints and intra</w:t>
      </w:r>
      <w:r w:rsidR="00F0019B" w:rsidRPr="000A4A98">
        <w:rPr>
          <w:rFonts w:ascii="Cambria" w:hAnsi="Cambria"/>
        </w:rPr>
        <w:t>-</w:t>
      </w:r>
      <w:r w:rsidR="006D474E" w:rsidRPr="000A4A98">
        <w:rPr>
          <w:rFonts w:ascii="Cambria" w:hAnsi="Cambria"/>
        </w:rPr>
        <w:t xml:space="preserve">community constraints. Inter-community constraints include those that affect the entire community, such as remoteness, safety, infrastructure damage, and seasonal barriers. </w:t>
      </w:r>
      <w:r w:rsidR="00F0019B" w:rsidRPr="000A4A98">
        <w:rPr>
          <w:rFonts w:ascii="Cambria" w:hAnsi="Cambria"/>
        </w:rPr>
        <w:t>Intra</w:t>
      </w:r>
      <w:r w:rsidR="006D474E" w:rsidRPr="000A4A98">
        <w:rPr>
          <w:rFonts w:ascii="Cambria" w:hAnsi="Cambria"/>
        </w:rPr>
        <w:t xml:space="preserve">-community constraints affect particular households or particular individuals within households, such as socio-cultural attributes (caste, clan, gender), safety </w:t>
      </w:r>
      <w:r w:rsidR="00F0019B" w:rsidRPr="000A4A98">
        <w:rPr>
          <w:rFonts w:ascii="Cambria" w:hAnsi="Cambria"/>
        </w:rPr>
        <w:t xml:space="preserve">of </w:t>
      </w:r>
      <w:r w:rsidR="006D474E" w:rsidRPr="000A4A98">
        <w:rPr>
          <w:rFonts w:ascii="Cambria" w:hAnsi="Cambria"/>
        </w:rPr>
        <w:t>particular people, or labor constraints</w:t>
      </w:r>
      <w:r w:rsidR="00F0019B" w:rsidRPr="000A4A98">
        <w:rPr>
          <w:rFonts w:ascii="Cambria" w:hAnsi="Cambria"/>
        </w:rPr>
        <w:t xml:space="preserve"> due, possibly to the presence of</w:t>
      </w:r>
      <w:r w:rsidR="006D474E" w:rsidRPr="000A4A98">
        <w:rPr>
          <w:rFonts w:ascii="Cambria" w:hAnsi="Cambria"/>
        </w:rPr>
        <w:t xml:space="preserve"> HIV+ members, orphans </w:t>
      </w:r>
      <w:r w:rsidR="00F0019B" w:rsidRPr="000A4A98">
        <w:rPr>
          <w:rFonts w:ascii="Cambria" w:hAnsi="Cambria"/>
        </w:rPr>
        <w:t xml:space="preserve">or </w:t>
      </w:r>
      <w:r w:rsidR="006D474E" w:rsidRPr="000A4A98">
        <w:rPr>
          <w:rFonts w:ascii="Cambria" w:hAnsi="Cambria"/>
        </w:rPr>
        <w:t>other vulnerable children</w:t>
      </w:r>
      <w:r w:rsidR="00224D29" w:rsidRPr="000A4A98">
        <w:rPr>
          <w:rFonts w:ascii="Cambria" w:hAnsi="Cambria"/>
        </w:rPr>
        <w:t xml:space="preserve"> (OVCs)</w:t>
      </w:r>
      <w:r w:rsidR="00F0019B" w:rsidRPr="000A4A98">
        <w:rPr>
          <w:rFonts w:ascii="Cambria" w:hAnsi="Cambria"/>
        </w:rPr>
        <w:t xml:space="preserve"> in a household</w:t>
      </w:r>
      <w:r w:rsidR="006D474E" w:rsidRPr="000A4A98">
        <w:rPr>
          <w:rFonts w:ascii="Cambria" w:hAnsi="Cambria"/>
        </w:rPr>
        <w:t xml:space="preserve">. </w:t>
      </w:r>
    </w:p>
    <w:p w14:paraId="4C8B9C77" w14:textId="77777777" w:rsidR="005601DA" w:rsidRPr="000A4A98" w:rsidRDefault="005601DA" w:rsidP="005601DA">
      <w:pPr>
        <w:rPr>
          <w:rFonts w:ascii="Cambria" w:hAnsi="Cambria"/>
          <w:i/>
        </w:rPr>
      </w:pPr>
    </w:p>
    <w:p w14:paraId="2748A4E2" w14:textId="77777777" w:rsidR="002F22AF" w:rsidRPr="000A4A98" w:rsidRDefault="002F22AF" w:rsidP="002F22AF">
      <w:pPr>
        <w:rPr>
          <w:rFonts w:ascii="Cambria" w:hAnsi="Cambria"/>
        </w:rPr>
      </w:pPr>
      <w:r w:rsidRPr="000A4A98">
        <w:rPr>
          <w:rFonts w:ascii="Cambria" w:hAnsi="Cambria"/>
        </w:rPr>
        <w:t xml:space="preserve">Box 1 enumerates candidate questions that can be used in focus group discussions </w:t>
      </w:r>
      <w:r w:rsidRPr="000A4A98">
        <w:rPr>
          <w:rFonts w:ascii="Cambria" w:hAnsi="Cambria"/>
          <w:noProof/>
        </w:rPr>
        <mc:AlternateContent>
          <mc:Choice Requires="wps">
            <w:drawing>
              <wp:anchor distT="0" distB="0" distL="114300" distR="114300" simplePos="0" relativeHeight="251666432" behindDoc="0" locked="0" layoutInCell="1" allowOverlap="0" wp14:anchorId="28EA4C18" wp14:editId="6CC4BBEF">
                <wp:simplePos x="0" y="0"/>
                <wp:positionH relativeFrom="character">
                  <wp:posOffset>-68580</wp:posOffset>
                </wp:positionH>
                <wp:positionV relativeFrom="paragraph">
                  <wp:posOffset>427990</wp:posOffset>
                </wp:positionV>
                <wp:extent cx="5715000" cy="4146550"/>
                <wp:effectExtent l="0" t="0" r="25400" b="19050"/>
                <wp:wrapTight wrapText="bothSides">
                  <wp:wrapPolygon edited="0">
                    <wp:start x="0" y="0"/>
                    <wp:lineTo x="0" y="21567"/>
                    <wp:lineTo x="21600" y="21567"/>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46550"/>
                        </a:xfrm>
                        <a:prstGeom prst="rect">
                          <a:avLst/>
                        </a:prstGeom>
                        <a:solidFill>
                          <a:srgbClr val="FFFFFF"/>
                        </a:solidFill>
                        <a:ln w="9525">
                          <a:solidFill>
                            <a:srgbClr val="000000"/>
                          </a:solidFill>
                          <a:miter lim="800000"/>
                          <a:headEnd/>
                          <a:tailEnd/>
                        </a:ln>
                      </wps:spPr>
                      <wps:txbx>
                        <w:txbxContent>
                          <w:p w14:paraId="4F7409BB" w14:textId="77777777" w:rsidR="000C1352" w:rsidRDefault="000C1352" w:rsidP="002F22AF">
                            <w:pPr>
                              <w:rPr>
                                <w:b/>
                              </w:rPr>
                            </w:pPr>
                            <w:r>
                              <w:rPr>
                                <w:b/>
                              </w:rPr>
                              <w:t>Box 1: Are food insecure households well connected to local markets?</w:t>
                            </w:r>
                          </w:p>
                          <w:p w14:paraId="55B9BA07" w14:textId="6EA51CB2" w:rsidR="000C1352" w:rsidRDefault="000C1352" w:rsidP="002F22AF">
                            <w:pPr>
                              <w:rPr>
                                <w:b/>
                              </w:rPr>
                            </w:pPr>
                            <w:r>
                              <w:rPr>
                                <w:b/>
                              </w:rPr>
                              <w:t>Community-level market access questions</w:t>
                            </w:r>
                          </w:p>
                          <w:p w14:paraId="31A6303D" w14:textId="77777777" w:rsidR="000C1352" w:rsidRDefault="000C1352" w:rsidP="002F22AF">
                            <w:pPr>
                              <w:numPr>
                                <w:ilvl w:val="0"/>
                                <w:numId w:val="28"/>
                              </w:numPr>
                            </w:pPr>
                            <w:r>
                              <w:t xml:space="preserve">Which households use local markets? What types of markets do they use: shops, wet markets, supermarkets, informal barter, </w:t>
                            </w:r>
                            <w:proofErr w:type="spellStart"/>
                            <w:r>
                              <w:t>etc</w:t>
                            </w:r>
                            <w:proofErr w:type="spellEnd"/>
                            <w:r>
                              <w:t xml:space="preserve">? Are any markets currently inaccessible? </w:t>
                            </w:r>
                          </w:p>
                          <w:p w14:paraId="60CC3C63" w14:textId="77777777" w:rsidR="000C1352" w:rsidRDefault="000C1352" w:rsidP="00F57EE4">
                            <w:pPr>
                              <w:numPr>
                                <w:ilvl w:val="0"/>
                                <w:numId w:val="28"/>
                              </w:numPr>
                            </w:pPr>
                            <w:r>
                              <w:t>How far away are the markets? How frequently do households go and at what cost?</w:t>
                            </w:r>
                          </w:p>
                          <w:p w14:paraId="1DF512D6" w14:textId="77777777" w:rsidR="000C1352" w:rsidRDefault="000C1352" w:rsidP="00F57EE4">
                            <w:pPr>
                              <w:numPr>
                                <w:ilvl w:val="0"/>
                                <w:numId w:val="28"/>
                              </w:numPr>
                            </w:pPr>
                            <w:r>
                              <w:t>Can households travel to a larger market if local market prices increase too much?</w:t>
                            </w:r>
                          </w:p>
                          <w:p w14:paraId="58093561" w14:textId="77777777" w:rsidR="000C1352" w:rsidRDefault="000C1352" w:rsidP="00F57EE4">
                            <w:pPr>
                              <w:numPr>
                                <w:ilvl w:val="0"/>
                                <w:numId w:val="28"/>
                              </w:numPr>
                            </w:pPr>
                            <w:r>
                              <w:t xml:space="preserve">Are any key products that are not locally produced unavailable in the market? Is this due to commercial supply disruptions, government trade bans, high prices, insufficient local demand, or some other reason? Assess staples and substitutes in particular, but also key complementary goods and services, such as water, medicine, fuel, and shelter. </w:t>
                            </w:r>
                          </w:p>
                          <w:p w14:paraId="6831FD38" w14:textId="4F4ABF3E" w:rsidR="000C1352" w:rsidRPr="00F57EE4" w:rsidRDefault="000C1352" w:rsidP="00F57EE4">
                            <w:pPr>
                              <w:rPr>
                                <w:b/>
                              </w:rPr>
                            </w:pPr>
                            <w:r w:rsidRPr="00F57EE4">
                              <w:rPr>
                                <w:b/>
                              </w:rPr>
                              <w:t>Intra-community-level market access questions</w:t>
                            </w:r>
                          </w:p>
                          <w:p w14:paraId="75B62FC7" w14:textId="0896F718" w:rsidR="000C1352" w:rsidRDefault="000C1352" w:rsidP="00F57EE4">
                            <w:pPr>
                              <w:numPr>
                                <w:ilvl w:val="0"/>
                                <w:numId w:val="28"/>
                              </w:numPr>
                            </w:pPr>
                            <w:r>
                              <w:t xml:space="preserve">Does everyone have equal access to local markets? </w:t>
                            </w:r>
                            <w:r w:rsidRPr="00090DB1">
                              <w:rPr>
                                <w:rFonts w:ascii="Times New Roman" w:hAnsi="Times New Roman"/>
                              </w:rPr>
                              <w:t>How does market access differ for likely</w:t>
                            </w:r>
                            <w:r>
                              <w:rPr>
                                <w:rFonts w:ascii="Times New Roman" w:hAnsi="Times New Roman"/>
                              </w:rPr>
                              <w:t xml:space="preserve"> food assistance</w:t>
                            </w:r>
                            <w:r w:rsidRPr="00090DB1">
                              <w:rPr>
                                <w:rFonts w:ascii="Times New Roman" w:hAnsi="Times New Roman"/>
                              </w:rPr>
                              <w:t xml:space="preserve"> recipients compared to other community members?</w:t>
                            </w:r>
                            <w:r>
                              <w:t xml:space="preserve"> </w:t>
                            </w:r>
                            <w:r w:rsidRPr="00090DB1">
                              <w:rPr>
                                <w:rFonts w:ascii="Times New Roman" w:hAnsi="Times New Roman"/>
                              </w:rPr>
                              <w:t xml:space="preserve">How do households with limited </w:t>
                            </w:r>
                            <w:r>
                              <w:rPr>
                                <w:rFonts w:ascii="Times New Roman" w:hAnsi="Times New Roman"/>
                              </w:rPr>
                              <w:t xml:space="preserve">market </w:t>
                            </w:r>
                            <w:r w:rsidRPr="00090DB1">
                              <w:rPr>
                                <w:rFonts w:ascii="Times New Roman" w:hAnsi="Times New Roman"/>
                              </w:rPr>
                              <w:t>access cope?</w:t>
                            </w:r>
                          </w:p>
                          <w:p w14:paraId="759942B2" w14:textId="13A097E2" w:rsidR="000C1352" w:rsidRDefault="000C1352" w:rsidP="002F22AF">
                            <w:pPr>
                              <w:numPr>
                                <w:ilvl w:val="0"/>
                                <w:numId w:val="28"/>
                              </w:numPr>
                            </w:pPr>
                            <w:r>
                              <w:t>Which household members use markets?</w:t>
                            </w:r>
                          </w:p>
                          <w:p w14:paraId="303CE39C" w14:textId="229200C1" w:rsidR="000C1352" w:rsidRDefault="000C1352" w:rsidP="002F22AF">
                            <w:pPr>
                              <w:numPr>
                                <w:ilvl w:val="0"/>
                                <w:numId w:val="28"/>
                              </w:numPr>
                            </w:pPr>
                            <w:r>
                              <w:t xml:space="preserve">Do these households use cash, credit, or barter? </w:t>
                            </w:r>
                          </w:p>
                          <w:p w14:paraId="512284AB" w14:textId="18ED3B0A" w:rsidR="000C1352" w:rsidRDefault="000C1352" w:rsidP="00865C58">
                            <w:pPr>
                              <w:numPr>
                                <w:ilvl w:val="0"/>
                                <w:numId w:val="28"/>
                              </w:numPr>
                            </w:pPr>
                            <w:r>
                              <w:t xml:space="preserve">What staples and substitutes do the targeted populations buy from local markets?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33.7pt;width:450pt;height:326.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" o:allowoverlap="f">
                <v:textbox>
                  <w:txbxContent>
                    <w:p w14:paraId="4F7409BB" w14:textId="77777777" w:rsidR="000C1352" w:rsidRDefault="000C1352" w:rsidP="002F22AF">
                      <w:pPr>
                        <w:rPr>
                          <w:b/>
                        </w:rPr>
                      </w:pPr>
                      <w:r>
                        <w:rPr>
                          <w:b/>
                        </w:rPr>
                        <w:t>Box 1: Are food insecure households well connected to local markets?</w:t>
                      </w:r>
                    </w:p>
                    <w:p w14:paraId="55B9BA07" w14:textId="6EA51CB2" w:rsidR="000C1352" w:rsidRDefault="000C1352" w:rsidP="002F22AF">
                      <w:pPr>
                        <w:rPr>
                          <w:b/>
                        </w:rPr>
                      </w:pPr>
                      <w:r>
                        <w:rPr>
                          <w:b/>
                        </w:rPr>
                        <w:t>Community-level market access questions</w:t>
                      </w:r>
                    </w:p>
                    <w:p w14:paraId="31A6303D" w14:textId="77777777" w:rsidR="000C1352" w:rsidRDefault="000C1352" w:rsidP="002F22AF">
                      <w:pPr>
                        <w:numPr>
                          <w:ilvl w:val="0"/>
                          <w:numId w:val="28"/>
                        </w:numPr>
                      </w:pPr>
                      <w:r>
                        <w:t xml:space="preserve">Which households use local markets? What types of markets do they use: shops, wet markets, supermarkets, informal barter, </w:t>
                      </w:r>
                      <w:proofErr w:type="spellStart"/>
                      <w:r>
                        <w:t>etc</w:t>
                      </w:r>
                      <w:proofErr w:type="spellEnd"/>
                      <w:r>
                        <w:t xml:space="preserve">? Are any markets currently inaccessible? </w:t>
                      </w:r>
                    </w:p>
                    <w:p w14:paraId="60CC3C63" w14:textId="77777777" w:rsidR="000C1352" w:rsidRDefault="000C1352" w:rsidP="00F57EE4">
                      <w:pPr>
                        <w:numPr>
                          <w:ilvl w:val="0"/>
                          <w:numId w:val="28"/>
                        </w:numPr>
                      </w:pPr>
                      <w:r>
                        <w:t>How far away are the markets? How frequently do households go and at what cost?</w:t>
                      </w:r>
                    </w:p>
                    <w:p w14:paraId="1DF512D6" w14:textId="77777777" w:rsidR="000C1352" w:rsidRDefault="000C1352" w:rsidP="00F57EE4">
                      <w:pPr>
                        <w:numPr>
                          <w:ilvl w:val="0"/>
                          <w:numId w:val="28"/>
                        </w:numPr>
                      </w:pPr>
                      <w:r>
                        <w:t>Can households travel to a larger market if local market prices increase too much?</w:t>
                      </w:r>
                    </w:p>
                    <w:p w14:paraId="58093561" w14:textId="77777777" w:rsidR="000C1352" w:rsidRDefault="000C1352" w:rsidP="00F57EE4">
                      <w:pPr>
                        <w:numPr>
                          <w:ilvl w:val="0"/>
                          <w:numId w:val="28"/>
                        </w:numPr>
                      </w:pPr>
                      <w:r>
                        <w:t xml:space="preserve">Are any key products that are not locally produced unavailable in the market? Is this due to commercial supply disruptions, government trade bans, high prices, insufficient local demand, or some other reason? Assess staples and substitutes in particular, but also key complementary goods and services, such as water, medicine, fuel, and shelter. </w:t>
                      </w:r>
                    </w:p>
                    <w:p w14:paraId="6831FD38" w14:textId="4F4ABF3E" w:rsidR="000C1352" w:rsidRPr="00F57EE4" w:rsidRDefault="000C1352" w:rsidP="00F57EE4">
                      <w:pPr>
                        <w:rPr>
                          <w:b/>
                        </w:rPr>
                      </w:pPr>
                      <w:r w:rsidRPr="00F57EE4">
                        <w:rPr>
                          <w:b/>
                        </w:rPr>
                        <w:t>Intra-community-level market access questions</w:t>
                      </w:r>
                    </w:p>
                    <w:p w14:paraId="75B62FC7" w14:textId="0896F718" w:rsidR="000C1352" w:rsidRDefault="000C1352" w:rsidP="00F57EE4">
                      <w:pPr>
                        <w:numPr>
                          <w:ilvl w:val="0"/>
                          <w:numId w:val="28"/>
                        </w:numPr>
                      </w:pPr>
                      <w:r>
                        <w:t xml:space="preserve">Does everyone have equal access to local markets? </w:t>
                      </w:r>
                      <w:r w:rsidRPr="00090DB1">
                        <w:rPr>
                          <w:rFonts w:ascii="Times New Roman" w:hAnsi="Times New Roman"/>
                        </w:rPr>
                        <w:t>How does market access differ for likely</w:t>
                      </w:r>
                      <w:r>
                        <w:rPr>
                          <w:rFonts w:ascii="Times New Roman" w:hAnsi="Times New Roman"/>
                        </w:rPr>
                        <w:t xml:space="preserve"> food assistance</w:t>
                      </w:r>
                      <w:r w:rsidRPr="00090DB1">
                        <w:rPr>
                          <w:rFonts w:ascii="Times New Roman" w:hAnsi="Times New Roman"/>
                        </w:rPr>
                        <w:t xml:space="preserve"> recipients compared to other community members?</w:t>
                      </w:r>
                      <w:r>
                        <w:t xml:space="preserve"> </w:t>
                      </w:r>
                      <w:r w:rsidRPr="00090DB1">
                        <w:rPr>
                          <w:rFonts w:ascii="Times New Roman" w:hAnsi="Times New Roman"/>
                        </w:rPr>
                        <w:t xml:space="preserve">How do households with limited </w:t>
                      </w:r>
                      <w:r>
                        <w:rPr>
                          <w:rFonts w:ascii="Times New Roman" w:hAnsi="Times New Roman"/>
                        </w:rPr>
                        <w:t xml:space="preserve">market </w:t>
                      </w:r>
                      <w:r w:rsidRPr="00090DB1">
                        <w:rPr>
                          <w:rFonts w:ascii="Times New Roman" w:hAnsi="Times New Roman"/>
                        </w:rPr>
                        <w:t>access cope?</w:t>
                      </w:r>
                    </w:p>
                    <w:p w14:paraId="759942B2" w14:textId="13A097E2" w:rsidR="000C1352" w:rsidRDefault="000C1352" w:rsidP="002F22AF">
                      <w:pPr>
                        <w:numPr>
                          <w:ilvl w:val="0"/>
                          <w:numId w:val="28"/>
                        </w:numPr>
                      </w:pPr>
                      <w:r>
                        <w:t>Which household members use markets?</w:t>
                      </w:r>
                    </w:p>
                    <w:p w14:paraId="303CE39C" w14:textId="229200C1" w:rsidR="000C1352" w:rsidRDefault="000C1352" w:rsidP="002F22AF">
                      <w:pPr>
                        <w:numPr>
                          <w:ilvl w:val="0"/>
                          <w:numId w:val="28"/>
                        </w:numPr>
                      </w:pPr>
                      <w:r>
                        <w:t xml:space="preserve">Do these households use cash, credit, or barter? </w:t>
                      </w:r>
                    </w:p>
                    <w:p w14:paraId="512284AB" w14:textId="18ED3B0A" w:rsidR="000C1352" w:rsidRDefault="000C1352" w:rsidP="00865C58">
                      <w:pPr>
                        <w:numPr>
                          <w:ilvl w:val="0"/>
                          <w:numId w:val="28"/>
                        </w:numPr>
                      </w:pPr>
                      <w:r>
                        <w:t xml:space="preserve">What staples and substitutes do the targeted populations buy from local markets? </w:t>
                      </w:r>
                    </w:p>
                  </w:txbxContent>
                </v:textbox>
                <w10:wrap type="tight"/>
              </v:shape>
            </w:pict>
          </mc:Fallback>
        </mc:AlternateContent>
      </w:r>
      <w:r w:rsidRPr="000A4A98">
        <w:rPr>
          <w:rFonts w:ascii="Cambria" w:hAnsi="Cambria"/>
        </w:rPr>
        <w:t xml:space="preserve">and key informant interviews to tackle question 1a. </w:t>
      </w:r>
    </w:p>
    <w:p w14:paraId="18509FB7" w14:textId="77777777" w:rsidR="002F22AF" w:rsidRPr="000A4A98" w:rsidRDefault="002F22AF" w:rsidP="002F22AF">
      <w:pPr>
        <w:rPr>
          <w:rFonts w:ascii="Cambria" w:hAnsi="Cambria"/>
        </w:rPr>
      </w:pPr>
    </w:p>
    <w:p w14:paraId="4E3AB3D1" w14:textId="520DD711" w:rsidR="006D474E" w:rsidRPr="000A4A98" w:rsidRDefault="006D474E" w:rsidP="006D474E">
      <w:pPr>
        <w:rPr>
          <w:rFonts w:ascii="Cambria" w:hAnsi="Cambria"/>
          <w:i/>
          <w:u w:val="single"/>
        </w:rPr>
      </w:pPr>
      <w:r w:rsidRPr="000A4A98">
        <w:rPr>
          <w:rFonts w:ascii="Cambria" w:hAnsi="Cambria"/>
          <w:i/>
          <w:u w:val="single"/>
        </w:rPr>
        <w:t>Data requirements and sources of information</w:t>
      </w:r>
      <w:r w:rsidR="00F50D69" w:rsidRPr="000A4A98">
        <w:rPr>
          <w:rFonts w:ascii="Cambria" w:hAnsi="Cambria"/>
          <w:i/>
          <w:u w:val="single"/>
        </w:rPr>
        <w:t xml:space="preserve"> on access</w:t>
      </w:r>
    </w:p>
    <w:p w14:paraId="523E3FCC" w14:textId="518B15FB" w:rsidR="00230733" w:rsidRPr="000A4A98" w:rsidRDefault="00230733" w:rsidP="006D474E">
      <w:pPr>
        <w:tabs>
          <w:tab w:val="num" w:pos="810"/>
        </w:tabs>
        <w:rPr>
          <w:rFonts w:ascii="Cambria" w:hAnsi="Cambria"/>
        </w:rPr>
      </w:pPr>
      <w:r w:rsidRPr="000A4A98">
        <w:rPr>
          <w:rFonts w:ascii="Cambria" w:hAnsi="Cambria"/>
        </w:rPr>
        <w:lastRenderedPageBreak/>
        <w:t xml:space="preserve">A variety of methods can be used to gather information on access.  </w:t>
      </w:r>
      <w:r w:rsidR="006D474E" w:rsidRPr="000A4A98">
        <w:rPr>
          <w:rFonts w:ascii="Cambria" w:hAnsi="Cambria"/>
        </w:rPr>
        <w:t xml:space="preserve">Pre-existing household survey data or new discussions with households, focus groups and key informants in target communities can provide reliable, timely, low-cost information on local market accessibility. </w:t>
      </w:r>
    </w:p>
    <w:p w14:paraId="77D088B1" w14:textId="77777777" w:rsidR="00230733" w:rsidRPr="000A4A98" w:rsidRDefault="00230733" w:rsidP="006D474E">
      <w:pPr>
        <w:tabs>
          <w:tab w:val="num" w:pos="810"/>
        </w:tabs>
        <w:rPr>
          <w:rFonts w:ascii="Cambria" w:hAnsi="Cambria"/>
        </w:rPr>
      </w:pPr>
    </w:p>
    <w:p w14:paraId="1618E3CB" w14:textId="113D894F" w:rsidR="00230733" w:rsidRPr="000A4A98" w:rsidRDefault="006D474E" w:rsidP="006D474E">
      <w:pPr>
        <w:tabs>
          <w:tab w:val="num" w:pos="810"/>
        </w:tabs>
        <w:rPr>
          <w:rFonts w:ascii="Cambria" w:hAnsi="Cambria"/>
        </w:rPr>
      </w:pPr>
      <w:r w:rsidRPr="000A4A98">
        <w:rPr>
          <w:rFonts w:ascii="Cambria" w:hAnsi="Cambria"/>
        </w:rPr>
        <w:t xml:space="preserve">Focus group and key informant discussions on basic market attributes, seasonal calendars, and livelihoods and consumed commodities can help to clarify the role of markets and their potential relationships </w:t>
      </w:r>
      <w:r w:rsidR="00F0019B" w:rsidRPr="000A4A98">
        <w:rPr>
          <w:rFonts w:ascii="Cambria" w:hAnsi="Cambria"/>
        </w:rPr>
        <w:t xml:space="preserve">to </w:t>
      </w:r>
      <w:r w:rsidRPr="000A4A98">
        <w:rPr>
          <w:rFonts w:ascii="Cambria" w:hAnsi="Cambria"/>
        </w:rPr>
        <w:t xml:space="preserve">food security and livelihoods. </w:t>
      </w:r>
      <w:r w:rsidR="00230733" w:rsidRPr="000A4A98">
        <w:rPr>
          <w:rFonts w:ascii="Cambria" w:hAnsi="Cambria"/>
        </w:rPr>
        <w:t>In cases of divergent intra-community market access, focus groups may not be appropriate</w:t>
      </w:r>
      <w:r w:rsidR="00EA02B0">
        <w:rPr>
          <w:rFonts w:ascii="Cambria" w:hAnsi="Cambria"/>
        </w:rPr>
        <w:t>. I</w:t>
      </w:r>
      <w:r w:rsidR="00EA02B0" w:rsidRPr="000A4A98">
        <w:rPr>
          <w:rFonts w:ascii="Cambria" w:hAnsi="Cambria"/>
        </w:rPr>
        <w:t xml:space="preserve">ndividual interviews or key informant interviews </w:t>
      </w:r>
      <w:r w:rsidR="00EA02B0">
        <w:rPr>
          <w:rFonts w:ascii="Cambria" w:hAnsi="Cambria"/>
        </w:rPr>
        <w:t>may be preferable for</w:t>
      </w:r>
      <w:r w:rsidR="00230733" w:rsidRPr="000A4A98">
        <w:rPr>
          <w:rFonts w:ascii="Cambria" w:hAnsi="Cambria"/>
        </w:rPr>
        <w:t xml:space="preserve"> discussions of market access related to sensitive or stigmatizing issues (e.g., HIV+ househ</w:t>
      </w:r>
      <w:r w:rsidR="00EA02B0">
        <w:rPr>
          <w:rFonts w:ascii="Cambria" w:hAnsi="Cambria"/>
        </w:rPr>
        <w:t>old</w:t>
      </w:r>
      <w:r w:rsidR="00BC3060">
        <w:rPr>
          <w:rFonts w:ascii="Cambria" w:hAnsi="Cambria"/>
        </w:rPr>
        <w:t xml:space="preserve"> member</w:t>
      </w:r>
      <w:r w:rsidR="00EA02B0">
        <w:rPr>
          <w:rFonts w:ascii="Cambria" w:hAnsi="Cambria"/>
        </w:rPr>
        <w:t>s</w:t>
      </w:r>
      <w:r w:rsidR="00BC3060">
        <w:rPr>
          <w:rFonts w:ascii="Cambria" w:hAnsi="Cambria"/>
        </w:rPr>
        <w:t xml:space="preserve"> may not wish to identify themselves as such during an FGD but may face limited market access)</w:t>
      </w:r>
      <w:r w:rsidR="00AF6100">
        <w:rPr>
          <w:rFonts w:ascii="Cambria" w:hAnsi="Cambria"/>
        </w:rPr>
        <w:t>.</w:t>
      </w:r>
      <w:r w:rsidR="00EA02B0">
        <w:rPr>
          <w:rFonts w:ascii="Cambria" w:hAnsi="Cambria"/>
        </w:rPr>
        <w:t xml:space="preserve"> </w:t>
      </w:r>
    </w:p>
    <w:p w14:paraId="7566E6CB" w14:textId="77777777" w:rsidR="00230733" w:rsidRPr="000A4A98" w:rsidRDefault="00230733" w:rsidP="006D474E">
      <w:pPr>
        <w:tabs>
          <w:tab w:val="num" w:pos="810"/>
        </w:tabs>
        <w:rPr>
          <w:rFonts w:ascii="Cambria" w:hAnsi="Cambria"/>
        </w:rPr>
      </w:pPr>
    </w:p>
    <w:p w14:paraId="3D113311" w14:textId="2976EFF5" w:rsidR="006D474E" w:rsidRPr="000A4A98" w:rsidRDefault="006D474E" w:rsidP="006D474E">
      <w:pPr>
        <w:tabs>
          <w:tab w:val="num" w:pos="810"/>
        </w:tabs>
        <w:rPr>
          <w:rFonts w:ascii="Cambria" w:hAnsi="Cambria"/>
        </w:rPr>
      </w:pPr>
      <w:r w:rsidRPr="000A4A98">
        <w:rPr>
          <w:rFonts w:ascii="Cambria" w:hAnsi="Cambria"/>
        </w:rPr>
        <w:t>Key informant interviews may also help to identify households or individuals who may face market access barriers beyond what the rest of the community experience</w:t>
      </w:r>
      <w:r w:rsidR="00F0019B" w:rsidRPr="000A4A98">
        <w:rPr>
          <w:rFonts w:ascii="Cambria" w:hAnsi="Cambria"/>
        </w:rPr>
        <w:t>s</w:t>
      </w:r>
      <w:r w:rsidRPr="000A4A98">
        <w:rPr>
          <w:rFonts w:ascii="Cambria" w:hAnsi="Cambria"/>
        </w:rPr>
        <w:t xml:space="preserve">. </w:t>
      </w:r>
    </w:p>
    <w:p w14:paraId="276C9F53" w14:textId="77777777" w:rsidR="00230733" w:rsidRPr="000A4A98" w:rsidRDefault="00230733" w:rsidP="006D474E">
      <w:pPr>
        <w:tabs>
          <w:tab w:val="num" w:pos="810"/>
        </w:tabs>
        <w:rPr>
          <w:rFonts w:ascii="Cambria" w:hAnsi="Cambria"/>
        </w:rPr>
      </w:pPr>
    </w:p>
    <w:p w14:paraId="6E60F015" w14:textId="55FA5C08" w:rsidR="006D474E" w:rsidRPr="000A4A98" w:rsidRDefault="00230733" w:rsidP="00230733">
      <w:pPr>
        <w:rPr>
          <w:rFonts w:ascii="Cambria" w:hAnsi="Cambria"/>
        </w:rPr>
      </w:pPr>
      <w:r w:rsidRPr="000A4A98">
        <w:rPr>
          <w:rFonts w:ascii="Cambria" w:hAnsi="Cambria"/>
        </w:rPr>
        <w:t>Lastly, based on market characteristics, i</w:t>
      </w:r>
      <w:r w:rsidR="006D474E" w:rsidRPr="000A4A98">
        <w:rPr>
          <w:rFonts w:ascii="Cambria" w:hAnsi="Cambria"/>
        </w:rPr>
        <w:t>t may be useful to disaggregate market access temporally if seasonality affects market access (e.g., harvest vs. lean</w:t>
      </w:r>
      <w:r w:rsidR="00F44C9A" w:rsidRPr="000A4A98">
        <w:rPr>
          <w:rFonts w:ascii="Cambria" w:hAnsi="Cambria"/>
        </w:rPr>
        <w:t xml:space="preserve"> seasons</w:t>
      </w:r>
      <w:r w:rsidR="006D474E" w:rsidRPr="000A4A98">
        <w:rPr>
          <w:rFonts w:ascii="Cambria" w:hAnsi="Cambria"/>
        </w:rPr>
        <w:t>; flood vs. non</w:t>
      </w:r>
      <w:r w:rsidR="00F44C9A" w:rsidRPr="000A4A98">
        <w:rPr>
          <w:rFonts w:ascii="Cambria" w:hAnsi="Cambria"/>
        </w:rPr>
        <w:t>-</w:t>
      </w:r>
      <w:r w:rsidR="006D474E" w:rsidRPr="000A4A98">
        <w:rPr>
          <w:rFonts w:ascii="Cambria" w:hAnsi="Cambria"/>
        </w:rPr>
        <w:t>flood</w:t>
      </w:r>
      <w:r w:rsidR="00F44C9A" w:rsidRPr="000A4A98">
        <w:rPr>
          <w:rFonts w:ascii="Cambria" w:hAnsi="Cambria"/>
        </w:rPr>
        <w:t xml:space="preserve"> seasons</w:t>
      </w:r>
      <w:r w:rsidR="006D474E" w:rsidRPr="000A4A98">
        <w:rPr>
          <w:rFonts w:ascii="Cambria" w:hAnsi="Cambria"/>
        </w:rPr>
        <w:t>). Some communities lose access to markets during parts of the year, or may utilize different markets.</w:t>
      </w:r>
    </w:p>
    <w:p w14:paraId="50AAB098" w14:textId="77777777" w:rsidR="006D474E" w:rsidRPr="000A4A98" w:rsidRDefault="006D474E" w:rsidP="006D474E">
      <w:pPr>
        <w:rPr>
          <w:rFonts w:ascii="Cambria" w:hAnsi="Cambria"/>
        </w:rPr>
      </w:pPr>
    </w:p>
    <w:p w14:paraId="3F459C72" w14:textId="1AB9DCC2" w:rsidR="006D474E" w:rsidRPr="000A4A98" w:rsidRDefault="009F2142" w:rsidP="006D474E">
      <w:pPr>
        <w:rPr>
          <w:rFonts w:ascii="Cambria" w:hAnsi="Cambria"/>
          <w:i/>
          <w:u w:val="single"/>
        </w:rPr>
      </w:pPr>
      <w:r w:rsidRPr="000A4A98">
        <w:rPr>
          <w:rFonts w:ascii="Cambria" w:hAnsi="Cambria"/>
          <w:i/>
          <w:u w:val="single"/>
        </w:rPr>
        <w:t>Interpreting market access findings</w:t>
      </w:r>
    </w:p>
    <w:p w14:paraId="38B7708A" w14:textId="12A3FFDF" w:rsidR="009F2142" w:rsidRPr="000A4A98" w:rsidRDefault="009F2142" w:rsidP="009F2142">
      <w:pPr>
        <w:tabs>
          <w:tab w:val="left" w:pos="360"/>
          <w:tab w:val="left" w:pos="720"/>
        </w:tabs>
        <w:rPr>
          <w:rFonts w:ascii="Cambria" w:hAnsi="Cambria"/>
        </w:rPr>
      </w:pPr>
      <w:r w:rsidRPr="000A4A98">
        <w:rPr>
          <w:rFonts w:ascii="Cambria" w:hAnsi="Cambria"/>
        </w:rPr>
        <w:t>If market participation is broad-based, proceed with consideratio</w:t>
      </w:r>
      <w:r w:rsidR="00BB0FB1">
        <w:rPr>
          <w:rFonts w:ascii="Cambria" w:hAnsi="Cambria"/>
        </w:rPr>
        <w:t>n of cash transfers.  T</w:t>
      </w:r>
      <w:r w:rsidRPr="000A4A98">
        <w:rPr>
          <w:rFonts w:ascii="Cambria" w:hAnsi="Cambria"/>
        </w:rPr>
        <w:t>ypically there are at least some households that are effectively excluded from markets</w:t>
      </w:r>
      <w:r w:rsidR="00F34D3A" w:rsidRPr="000A4A98">
        <w:rPr>
          <w:rFonts w:ascii="Cambria" w:hAnsi="Cambria"/>
        </w:rPr>
        <w:t xml:space="preserve"> </w:t>
      </w:r>
      <w:r w:rsidR="00F34D3A" w:rsidRPr="000A4A98">
        <w:rPr>
          <w:rFonts w:ascii="Cambria" w:hAnsi="Cambria" w:cs="Times New Roman"/>
        </w:rPr>
        <w:t xml:space="preserve">for socio-cultural (e.g., caste, gender, religion) or geographical (i.e., remoteness) </w:t>
      </w:r>
      <w:r w:rsidR="00763C67">
        <w:rPr>
          <w:rFonts w:ascii="Cambria" w:hAnsi="Cambria" w:cs="Times New Roman"/>
        </w:rPr>
        <w:t xml:space="preserve">or physical disability </w:t>
      </w:r>
      <w:r w:rsidR="00F34D3A" w:rsidRPr="000A4A98">
        <w:rPr>
          <w:rFonts w:ascii="Cambria" w:hAnsi="Cambria" w:cs="Times New Roman"/>
        </w:rPr>
        <w:t>reasons.</w:t>
      </w:r>
      <w:r w:rsidRPr="000A4A98">
        <w:rPr>
          <w:rFonts w:ascii="Cambria" w:hAnsi="Cambria"/>
        </w:rPr>
        <w:t xml:space="preserve"> Identify their characteristics (e.g., female-headed, remotely located, low caste, etc.) and, where possible, use those characteristics to target direct distributions or consider programming interventions that can minimize access constraints.</w:t>
      </w:r>
    </w:p>
    <w:p w14:paraId="55C31989" w14:textId="77777777" w:rsidR="009F2142" w:rsidRPr="000A4A98" w:rsidRDefault="009F2142" w:rsidP="006D474E">
      <w:pPr>
        <w:rPr>
          <w:rFonts w:ascii="Cambria" w:hAnsi="Cambria"/>
        </w:rPr>
      </w:pPr>
    </w:p>
    <w:p w14:paraId="248967CA" w14:textId="35F4E3A1" w:rsidR="006D474E" w:rsidRPr="000A4A98" w:rsidRDefault="006D474E" w:rsidP="006D474E">
      <w:pPr>
        <w:rPr>
          <w:rFonts w:ascii="Cambria" w:hAnsi="Cambria" w:cs="Times New Roman"/>
        </w:rPr>
      </w:pPr>
      <w:r w:rsidRPr="000A4A98">
        <w:rPr>
          <w:rFonts w:ascii="Cambria" w:hAnsi="Cambria" w:cs="Times New Roman"/>
        </w:rPr>
        <w:t>If households are not actively engaged in markets – or if they face restricted product access or discriminatory pricing</w:t>
      </w:r>
      <w:r w:rsidR="00323395" w:rsidRPr="000A4A98">
        <w:rPr>
          <w:rFonts w:ascii="Cambria" w:hAnsi="Cambria" w:cs="Times New Roman"/>
        </w:rPr>
        <w:t>, for example,</w:t>
      </w:r>
      <w:r w:rsidRPr="000A4A98">
        <w:rPr>
          <w:rFonts w:ascii="Cambria" w:hAnsi="Cambria" w:cs="Times New Roman"/>
        </w:rPr>
        <w:t xml:space="preserve"> because of social exclusion, physical distance, noncompetitive trader behavior or some other factor(s), then cash for market purchases may not be especially </w:t>
      </w:r>
      <w:r w:rsidR="00323395" w:rsidRPr="000A4A98">
        <w:rPr>
          <w:rFonts w:ascii="Cambria" w:hAnsi="Cambria" w:cs="Times New Roman"/>
        </w:rPr>
        <w:t>effective at</w:t>
      </w:r>
      <w:r w:rsidRPr="000A4A98">
        <w:rPr>
          <w:rFonts w:ascii="Cambria" w:hAnsi="Cambria" w:cs="Times New Roman"/>
        </w:rPr>
        <w:t xml:space="preserve"> improving food access. Direct distribution of food (or food-for-work) can be targeted at such populations, as cash may prove ineffective as an instrument for improving their food access.</w:t>
      </w:r>
    </w:p>
    <w:p w14:paraId="465F84E7" w14:textId="77777777" w:rsidR="006D474E" w:rsidRPr="000A4A98" w:rsidRDefault="006D474E" w:rsidP="006D474E">
      <w:pPr>
        <w:rPr>
          <w:rFonts w:ascii="Cambria" w:hAnsi="Cambria"/>
        </w:rPr>
      </w:pPr>
    </w:p>
    <w:p w14:paraId="597A678F" w14:textId="26AEA379" w:rsidR="006D474E" w:rsidRPr="000A4A98" w:rsidRDefault="00E0699E" w:rsidP="006D474E">
      <w:pPr>
        <w:rPr>
          <w:rFonts w:ascii="Cambria" w:hAnsi="Cambria"/>
        </w:rPr>
      </w:pPr>
      <w:r w:rsidRPr="000A4A98">
        <w:rPr>
          <w:rFonts w:ascii="Cambria" w:hAnsi="Cambria"/>
        </w:rPr>
        <w:t>Innovative delivery mechanisms and programming options may alleviate identified constraints</w:t>
      </w:r>
      <w:r w:rsidR="006D474E" w:rsidRPr="000A4A98">
        <w:rPr>
          <w:rFonts w:ascii="Cambria" w:hAnsi="Cambria"/>
        </w:rPr>
        <w:t xml:space="preserve">. Below is a selection of approaches that could make cash transfers less onerous to households with limited market access. </w:t>
      </w:r>
    </w:p>
    <w:p w14:paraId="47E3CA64" w14:textId="77777777" w:rsidR="006D474E" w:rsidRPr="000A4A98" w:rsidRDefault="006D474E" w:rsidP="006D474E">
      <w:pPr>
        <w:rPr>
          <w:rFonts w:ascii="Cambria" w:hAnsi="Cambria"/>
        </w:rPr>
      </w:pPr>
    </w:p>
    <w:p w14:paraId="08D83852" w14:textId="25F64689" w:rsidR="006D474E" w:rsidRPr="000A4A98" w:rsidRDefault="006D474E" w:rsidP="006D474E">
      <w:pPr>
        <w:pStyle w:val="ListParagraph"/>
        <w:numPr>
          <w:ilvl w:val="0"/>
          <w:numId w:val="38"/>
        </w:numPr>
        <w:rPr>
          <w:rFonts w:ascii="Cambria" w:hAnsi="Cambria"/>
        </w:rPr>
      </w:pPr>
      <w:r w:rsidRPr="000A4A98">
        <w:rPr>
          <w:rFonts w:ascii="Cambria" w:hAnsi="Cambria"/>
        </w:rPr>
        <w:t xml:space="preserve">For households with access to transportation or community networks that can purchase goods for them, consider </w:t>
      </w:r>
      <w:r w:rsidR="005D62CE" w:rsidRPr="000A4A98">
        <w:rPr>
          <w:rFonts w:ascii="Cambria" w:hAnsi="Cambria"/>
        </w:rPr>
        <w:t>increasing</w:t>
      </w:r>
      <w:r w:rsidRPr="000A4A98">
        <w:rPr>
          <w:rFonts w:ascii="Cambria" w:hAnsi="Cambria"/>
        </w:rPr>
        <w:t xml:space="preserve"> transfers to cover transportation costs.</w:t>
      </w:r>
    </w:p>
    <w:p w14:paraId="69F55B08" w14:textId="70A51C61" w:rsidR="006D474E" w:rsidRPr="000A4A98" w:rsidRDefault="006D474E" w:rsidP="006D474E">
      <w:pPr>
        <w:pStyle w:val="ListParagraph"/>
        <w:numPr>
          <w:ilvl w:val="0"/>
          <w:numId w:val="38"/>
        </w:numPr>
        <w:rPr>
          <w:rFonts w:ascii="Cambria" w:hAnsi="Cambria"/>
        </w:rPr>
      </w:pPr>
      <w:r w:rsidRPr="000A4A98">
        <w:rPr>
          <w:rFonts w:ascii="Cambria" w:hAnsi="Cambria"/>
        </w:rPr>
        <w:lastRenderedPageBreak/>
        <w:t>Coordinate disbursements to coincide with other service or transfer deliveries (e.g., ARV treatments), so that recipients only make one trip</w:t>
      </w:r>
      <w:r w:rsidR="001F0C50" w:rsidRPr="000A4A98">
        <w:rPr>
          <w:rFonts w:ascii="Cambria" w:hAnsi="Cambria"/>
        </w:rPr>
        <w:t>.</w:t>
      </w:r>
    </w:p>
    <w:p w14:paraId="04B2396C" w14:textId="211E6B5A" w:rsidR="006D474E" w:rsidRPr="000A4A98" w:rsidRDefault="006D474E" w:rsidP="006D474E">
      <w:pPr>
        <w:pStyle w:val="ListParagraph"/>
        <w:numPr>
          <w:ilvl w:val="0"/>
          <w:numId w:val="38"/>
        </w:numPr>
        <w:rPr>
          <w:rFonts w:ascii="Cambria" w:hAnsi="Cambria"/>
        </w:rPr>
      </w:pPr>
      <w:r w:rsidRPr="000A4A98">
        <w:rPr>
          <w:rFonts w:ascii="Cambria" w:hAnsi="Cambria"/>
        </w:rPr>
        <w:t>For households receiving cash at centralized pay</w:t>
      </w:r>
      <w:r w:rsidR="001F0C50" w:rsidRPr="000A4A98">
        <w:rPr>
          <w:rFonts w:ascii="Cambria" w:hAnsi="Cambria"/>
        </w:rPr>
        <w:t xml:space="preserve"> </w:t>
      </w:r>
      <w:r w:rsidRPr="000A4A98">
        <w:rPr>
          <w:rFonts w:ascii="Cambria" w:hAnsi="Cambria"/>
        </w:rPr>
        <w:t xml:space="preserve">points, consider alerting traders of distribution days and locations so that households do not need to make a separate trip for purchases. </w:t>
      </w:r>
    </w:p>
    <w:p w14:paraId="44518CD8" w14:textId="63F4B461" w:rsidR="006D474E" w:rsidRPr="000A4A98" w:rsidRDefault="006D474E" w:rsidP="006D474E">
      <w:pPr>
        <w:pStyle w:val="ListParagraph"/>
        <w:numPr>
          <w:ilvl w:val="0"/>
          <w:numId w:val="38"/>
        </w:numPr>
        <w:rPr>
          <w:rFonts w:ascii="Cambria" w:hAnsi="Cambria"/>
        </w:rPr>
      </w:pPr>
      <w:r w:rsidRPr="000A4A98">
        <w:rPr>
          <w:rFonts w:ascii="Cambria" w:hAnsi="Cambria"/>
        </w:rPr>
        <w:t>If distributing cash through cell phone technology or smart-cards, determine whether traders</w:t>
      </w:r>
      <w:r w:rsidR="00527DA8">
        <w:rPr>
          <w:rFonts w:ascii="Cambria" w:hAnsi="Cambria"/>
        </w:rPr>
        <w:t xml:space="preserve"> with shops</w:t>
      </w:r>
      <w:r w:rsidRPr="000A4A98">
        <w:rPr>
          <w:rFonts w:ascii="Cambria" w:hAnsi="Cambria"/>
        </w:rPr>
        <w:t xml:space="preserve"> in remote areas can </w:t>
      </w:r>
      <w:r w:rsidR="001F0C50" w:rsidRPr="000A4A98">
        <w:rPr>
          <w:rFonts w:ascii="Cambria" w:hAnsi="Cambria"/>
        </w:rPr>
        <w:t>participate</w:t>
      </w:r>
      <w:r w:rsidRPr="000A4A98">
        <w:rPr>
          <w:rFonts w:ascii="Cambria" w:hAnsi="Cambria"/>
        </w:rPr>
        <w:t>, so that households do not need to travel to major market centers.</w:t>
      </w:r>
    </w:p>
    <w:p w14:paraId="0795258C" w14:textId="77777777" w:rsidR="006D474E" w:rsidRPr="000A4A98" w:rsidRDefault="006D474E" w:rsidP="006D474E">
      <w:pPr>
        <w:rPr>
          <w:rFonts w:ascii="Cambria" w:hAnsi="Cambria"/>
          <w:b/>
        </w:rPr>
      </w:pPr>
    </w:p>
    <w:p w14:paraId="7FCE0E9F" w14:textId="4A405E90" w:rsidR="006D474E" w:rsidRPr="000A4A98" w:rsidRDefault="00DE098C" w:rsidP="006D474E">
      <w:pPr>
        <w:rPr>
          <w:rFonts w:ascii="Cambria" w:hAnsi="Cambria"/>
          <w:i/>
          <w:u w:val="single"/>
        </w:rPr>
      </w:pPr>
      <w:r w:rsidRPr="000A4A98">
        <w:rPr>
          <w:rFonts w:ascii="Cambria" w:hAnsi="Cambria"/>
          <w:i/>
          <w:u w:val="single"/>
        </w:rPr>
        <w:t>Limitations of the assessing market access</w:t>
      </w:r>
    </w:p>
    <w:p w14:paraId="1F13F4C2" w14:textId="389BC5D6" w:rsidR="006D474E" w:rsidRPr="000A4A98" w:rsidRDefault="006D474E" w:rsidP="006D474E">
      <w:pPr>
        <w:rPr>
          <w:rFonts w:ascii="Cambria" w:hAnsi="Cambria"/>
        </w:rPr>
      </w:pPr>
      <w:r w:rsidRPr="000A4A98">
        <w:rPr>
          <w:rFonts w:ascii="Cambria" w:hAnsi="Cambria"/>
        </w:rPr>
        <w:t xml:space="preserve">Assessing inter-community access is relatively straightforward compared to assessing intra-community access, which </w:t>
      </w:r>
      <w:r w:rsidR="001D5F71">
        <w:rPr>
          <w:rFonts w:ascii="Cambria" w:hAnsi="Cambria"/>
        </w:rPr>
        <w:t xml:space="preserve">deals with </w:t>
      </w:r>
      <w:r w:rsidRPr="000A4A98">
        <w:rPr>
          <w:rFonts w:ascii="Cambria" w:hAnsi="Cambria"/>
        </w:rPr>
        <w:t>highly sensitive issues</w:t>
      </w:r>
      <w:r w:rsidR="00763C67">
        <w:rPr>
          <w:rFonts w:ascii="Cambria" w:hAnsi="Cambria"/>
        </w:rPr>
        <w:t xml:space="preserve"> of social exclusion and health status</w:t>
      </w:r>
      <w:r w:rsidRPr="000A4A98">
        <w:rPr>
          <w:rFonts w:ascii="Cambria" w:hAnsi="Cambria"/>
        </w:rPr>
        <w:t xml:space="preserve">. Field staff from local NGOs may be able to quickly identify groups of households at risk of weak market access and may be able to facilitate the purposive interviewing with such households. </w:t>
      </w:r>
    </w:p>
    <w:p w14:paraId="5A1A0AEF" w14:textId="77777777" w:rsidR="006D474E" w:rsidRPr="000A4A98" w:rsidRDefault="006D474E" w:rsidP="006D474E">
      <w:pPr>
        <w:rPr>
          <w:rFonts w:ascii="Cambria" w:hAnsi="Cambria"/>
        </w:rPr>
      </w:pPr>
    </w:p>
    <w:p w14:paraId="34224C84" w14:textId="2F894257" w:rsidR="006D474E" w:rsidRPr="000A4A98" w:rsidRDefault="00205737" w:rsidP="006D474E">
      <w:pPr>
        <w:rPr>
          <w:rFonts w:ascii="Cambria" w:hAnsi="Cambria"/>
          <w:b/>
        </w:rPr>
      </w:pPr>
      <w:r>
        <w:rPr>
          <w:rFonts w:ascii="Cambria" w:hAnsi="Cambria"/>
          <w:b/>
        </w:rPr>
        <w:t>Preferences</w:t>
      </w:r>
    </w:p>
    <w:p w14:paraId="06294094" w14:textId="408539DA" w:rsidR="006D474E" w:rsidRPr="00A30558" w:rsidRDefault="006D474E" w:rsidP="006D474E">
      <w:pPr>
        <w:rPr>
          <w:rFonts w:ascii="Cambria" w:hAnsi="Cambria"/>
        </w:rPr>
      </w:pPr>
      <w:r w:rsidRPr="000A4A98">
        <w:rPr>
          <w:rFonts w:ascii="Cambria" w:hAnsi="Cambria"/>
        </w:rPr>
        <w:t xml:space="preserve">Simple, direct elicitation of preferences for food versus cash is an important criterion for response analysis. </w:t>
      </w:r>
      <w:r w:rsidR="00E920BA" w:rsidRPr="000A4A98">
        <w:rPr>
          <w:rFonts w:ascii="Cambria" w:hAnsi="Cambria"/>
        </w:rPr>
        <w:t>Giving recipients some influence over the form of assistance they receive reinforces their rights and dignity</w:t>
      </w:r>
      <w:r w:rsidR="00E920BA">
        <w:rPr>
          <w:rFonts w:ascii="Cambria" w:hAnsi="Cambria"/>
        </w:rPr>
        <w:t>.</w:t>
      </w:r>
      <w:r w:rsidR="00E920BA" w:rsidRPr="000A4A98">
        <w:rPr>
          <w:rFonts w:ascii="Cambria" w:hAnsi="Cambria"/>
        </w:rPr>
        <w:t xml:space="preserve"> </w:t>
      </w:r>
      <w:r w:rsidRPr="000A4A98">
        <w:rPr>
          <w:rFonts w:ascii="Cambria" w:hAnsi="Cambria"/>
        </w:rPr>
        <w:t>Households often know their own needs better than do outsiders (one caveat being with regard to micronutrient deficiencies</w:t>
      </w:r>
      <w:r w:rsidR="00DE0705" w:rsidRPr="000A4A98">
        <w:rPr>
          <w:rFonts w:ascii="Cambria" w:hAnsi="Cambria"/>
        </w:rPr>
        <w:t>, which may difficult to observe and/or consumers may not know which specific foods can best address deficiencies</w:t>
      </w:r>
      <w:r w:rsidR="00E920BA">
        <w:rPr>
          <w:rFonts w:ascii="Cambria" w:hAnsi="Cambria"/>
        </w:rPr>
        <w:t xml:space="preserve">) and </w:t>
      </w:r>
      <w:r w:rsidR="00E920BA" w:rsidRPr="000A4A98">
        <w:rPr>
          <w:rFonts w:ascii="Cambria" w:hAnsi="Cambria"/>
        </w:rPr>
        <w:t>often can often better assess their own access to fairly priced food via local markets</w:t>
      </w:r>
      <w:r w:rsidR="00E920BA">
        <w:rPr>
          <w:rFonts w:ascii="Cambria" w:hAnsi="Cambria"/>
        </w:rPr>
        <w:t>.</w:t>
      </w:r>
      <w:r w:rsidR="00E920BA" w:rsidRPr="000A4A98">
        <w:rPr>
          <w:rFonts w:ascii="Cambria" w:hAnsi="Cambria"/>
        </w:rPr>
        <w:t xml:space="preserve"> </w:t>
      </w:r>
      <w:r w:rsidR="00E920BA">
        <w:rPr>
          <w:rFonts w:ascii="Cambria" w:hAnsi="Cambria"/>
        </w:rPr>
        <w:t xml:space="preserve"> </w:t>
      </w:r>
      <w:r w:rsidRPr="000A4A98">
        <w:rPr>
          <w:rFonts w:ascii="Cambria" w:hAnsi="Cambria"/>
        </w:rPr>
        <w:t xml:space="preserve">However, we do not want to rely </w:t>
      </w:r>
      <w:r w:rsidR="003D3CD7">
        <w:rPr>
          <w:rFonts w:ascii="Cambria" w:hAnsi="Cambria"/>
        </w:rPr>
        <w:t>exclusively</w:t>
      </w:r>
      <w:r w:rsidRPr="000A4A98">
        <w:rPr>
          <w:rFonts w:ascii="Cambria" w:hAnsi="Cambria"/>
        </w:rPr>
        <w:t xml:space="preserve"> on households’ self-declared preferences, given many targeted recipients’ limited understanding of distant market functioning and government policies. Therefore, information on preferences can </w:t>
      </w:r>
      <w:r w:rsidR="00D531A7" w:rsidRPr="000A4A98">
        <w:rPr>
          <w:rFonts w:ascii="Cambria" w:hAnsi="Cambria"/>
        </w:rPr>
        <w:t>reveal</w:t>
      </w:r>
      <w:r w:rsidRPr="000A4A98">
        <w:rPr>
          <w:rFonts w:ascii="Cambria" w:hAnsi="Cambria"/>
        </w:rPr>
        <w:t xml:space="preserve"> what households or individuals perceive to be </w:t>
      </w:r>
      <w:r w:rsidR="00D531A7" w:rsidRPr="000A4A98">
        <w:rPr>
          <w:rFonts w:ascii="Cambria" w:hAnsi="Cambria"/>
        </w:rPr>
        <w:t xml:space="preserve">the </w:t>
      </w:r>
      <w:r w:rsidRPr="000A4A98">
        <w:rPr>
          <w:rFonts w:ascii="Cambria" w:hAnsi="Cambria"/>
        </w:rPr>
        <w:t>most beneficial, as well as</w:t>
      </w:r>
      <w:r w:rsidR="00D531A7" w:rsidRPr="000A4A98">
        <w:rPr>
          <w:rFonts w:ascii="Cambria" w:hAnsi="Cambria"/>
        </w:rPr>
        <w:t xml:space="preserve"> provide</w:t>
      </w:r>
      <w:r w:rsidRPr="000A4A98">
        <w:rPr>
          <w:rFonts w:ascii="Cambria" w:hAnsi="Cambria"/>
        </w:rPr>
        <w:t xml:space="preserve"> insight into concerns households have regarding non-preferred transfers.</w:t>
      </w:r>
    </w:p>
    <w:p w14:paraId="34AC9FE5" w14:textId="77777777" w:rsidR="006D474E" w:rsidRPr="000A4A98" w:rsidRDefault="006D474E" w:rsidP="006D474E">
      <w:pPr>
        <w:rPr>
          <w:rFonts w:ascii="Cambria" w:hAnsi="Cambria"/>
          <w:b/>
        </w:rPr>
      </w:pPr>
    </w:p>
    <w:p w14:paraId="2288B5F5" w14:textId="77777777" w:rsidR="00E32C44" w:rsidRPr="000A4A98" w:rsidRDefault="00E32C44" w:rsidP="00E32C44">
      <w:pPr>
        <w:rPr>
          <w:rFonts w:ascii="Cambria" w:hAnsi="Cambria"/>
          <w:i/>
          <w:u w:val="single"/>
        </w:rPr>
      </w:pPr>
      <w:r w:rsidRPr="000A4A98">
        <w:rPr>
          <w:rFonts w:ascii="Cambria" w:hAnsi="Cambria"/>
          <w:i/>
          <w:u w:val="single"/>
        </w:rPr>
        <w:t>Data requirements and sources of information on access</w:t>
      </w:r>
    </w:p>
    <w:p w14:paraId="07685CD7" w14:textId="19800CB6" w:rsidR="006D474E" w:rsidRDefault="006D474E" w:rsidP="006D474E">
      <w:pPr>
        <w:rPr>
          <w:rFonts w:ascii="Cambria" w:hAnsi="Cambria"/>
        </w:rPr>
      </w:pPr>
      <w:r w:rsidRPr="000A4A98">
        <w:rPr>
          <w:rFonts w:ascii="Cambria" w:hAnsi="Cambria"/>
        </w:rPr>
        <w:t xml:space="preserve">Preferences across households may vary </w:t>
      </w:r>
      <w:r w:rsidR="00E03A7B" w:rsidRPr="000A4A98">
        <w:rPr>
          <w:rFonts w:ascii="Cambria" w:hAnsi="Cambria"/>
        </w:rPr>
        <w:t>due to</w:t>
      </w:r>
      <w:r w:rsidRPr="000A4A98">
        <w:rPr>
          <w:rFonts w:ascii="Cambria" w:hAnsi="Cambria"/>
        </w:rPr>
        <w:t xml:space="preserve"> a number of factors such as income levels and sources, labor availability</w:t>
      </w:r>
      <w:r w:rsidR="00E03A7B" w:rsidRPr="000A4A98">
        <w:rPr>
          <w:rFonts w:ascii="Cambria" w:hAnsi="Cambria"/>
        </w:rPr>
        <w:t xml:space="preserve"> and</w:t>
      </w:r>
      <w:r w:rsidRPr="000A4A98">
        <w:rPr>
          <w:rFonts w:ascii="Cambria" w:hAnsi="Cambria"/>
        </w:rPr>
        <w:t xml:space="preserve"> frequency of market access.  </w:t>
      </w:r>
      <w:r w:rsidR="003828BE" w:rsidRPr="000A4A98">
        <w:rPr>
          <w:rFonts w:ascii="Cambria" w:hAnsi="Cambria"/>
        </w:rPr>
        <w:t>Given that p</w:t>
      </w:r>
      <w:r w:rsidRPr="000A4A98">
        <w:rPr>
          <w:rFonts w:ascii="Cambria" w:hAnsi="Cambria"/>
        </w:rPr>
        <w:t xml:space="preserve">references within households may also vary based on gender, age, resource control, labor availability, </w:t>
      </w:r>
      <w:r w:rsidR="000955A8" w:rsidRPr="000A4A98">
        <w:rPr>
          <w:rFonts w:ascii="Cambria" w:hAnsi="Cambria"/>
        </w:rPr>
        <w:t>sea</w:t>
      </w:r>
      <w:r w:rsidR="00246C25" w:rsidRPr="000A4A98">
        <w:rPr>
          <w:rFonts w:ascii="Cambria" w:hAnsi="Cambria"/>
        </w:rPr>
        <w:t>s</w:t>
      </w:r>
      <w:r w:rsidR="000955A8" w:rsidRPr="000A4A98">
        <w:rPr>
          <w:rFonts w:ascii="Cambria" w:hAnsi="Cambria"/>
        </w:rPr>
        <w:t xml:space="preserve">onality, </w:t>
      </w:r>
      <w:r w:rsidRPr="000A4A98">
        <w:rPr>
          <w:rFonts w:ascii="Cambria" w:hAnsi="Cambria"/>
        </w:rPr>
        <w:t>et</w:t>
      </w:r>
      <w:r w:rsidR="003828BE" w:rsidRPr="000A4A98">
        <w:rPr>
          <w:rFonts w:ascii="Cambria" w:hAnsi="Cambria"/>
        </w:rPr>
        <w:t>c.,</w:t>
      </w:r>
      <w:r w:rsidRPr="000A4A98">
        <w:rPr>
          <w:rFonts w:ascii="Cambria" w:hAnsi="Cambria"/>
        </w:rPr>
        <w:t xml:space="preserve"> it is important to assess what the intended recipient</w:t>
      </w:r>
      <w:r w:rsidR="001C60BA" w:rsidRPr="000A4A98">
        <w:rPr>
          <w:rFonts w:ascii="Cambria" w:hAnsi="Cambria"/>
        </w:rPr>
        <w:t>, specifically,</w:t>
      </w:r>
      <w:r w:rsidRPr="000A4A98">
        <w:rPr>
          <w:rFonts w:ascii="Cambria" w:hAnsi="Cambria"/>
        </w:rPr>
        <w:t xml:space="preserve"> would prefer. Focus on individuals likely to be targeted, such as food insecure individuals or elderly people.</w:t>
      </w:r>
    </w:p>
    <w:p w14:paraId="49BE47EC" w14:textId="77777777" w:rsidR="006D474E" w:rsidRPr="000A4A98" w:rsidRDefault="006D474E" w:rsidP="006D474E">
      <w:pPr>
        <w:rPr>
          <w:rFonts w:ascii="Cambria" w:hAnsi="Cambria"/>
        </w:rPr>
      </w:pPr>
    </w:p>
    <w:p w14:paraId="6698C6E7" w14:textId="4C6B12FB" w:rsidR="006462B8" w:rsidRDefault="006D474E" w:rsidP="006D474E">
      <w:pPr>
        <w:rPr>
          <w:rFonts w:ascii="Cambria" w:hAnsi="Cambria"/>
        </w:rPr>
      </w:pPr>
      <w:r w:rsidRPr="000A4A98">
        <w:rPr>
          <w:rFonts w:ascii="Cambria" w:hAnsi="Cambria"/>
        </w:rPr>
        <w:t xml:space="preserve">When eliciting preferences, it is helpful to explain several programming aspects </w:t>
      </w:r>
      <w:r w:rsidR="001C60BA" w:rsidRPr="000A4A98">
        <w:rPr>
          <w:rFonts w:ascii="Cambria" w:hAnsi="Cambria"/>
        </w:rPr>
        <w:t xml:space="preserve">so that </w:t>
      </w:r>
      <w:r w:rsidRPr="000A4A98">
        <w:rPr>
          <w:rFonts w:ascii="Cambria" w:hAnsi="Cambria"/>
        </w:rPr>
        <w:t xml:space="preserve">households </w:t>
      </w:r>
      <w:r w:rsidR="001C60BA" w:rsidRPr="000A4A98">
        <w:rPr>
          <w:rFonts w:ascii="Cambria" w:hAnsi="Cambria"/>
        </w:rPr>
        <w:t xml:space="preserve">can </w:t>
      </w:r>
      <w:r w:rsidRPr="000A4A98">
        <w:rPr>
          <w:rFonts w:ascii="Cambria" w:hAnsi="Cambria"/>
        </w:rPr>
        <w:t xml:space="preserve">make a more informed decision. Otherwise, households are likely to prefer what they </w:t>
      </w:r>
      <w:r w:rsidR="001C60BA" w:rsidRPr="000A4A98">
        <w:rPr>
          <w:rFonts w:ascii="Cambria" w:hAnsi="Cambria"/>
        </w:rPr>
        <w:t xml:space="preserve">already </w:t>
      </w:r>
      <w:r w:rsidRPr="000A4A98">
        <w:rPr>
          <w:rFonts w:ascii="Cambria" w:hAnsi="Cambria"/>
        </w:rPr>
        <w:t xml:space="preserve">know or understand. </w:t>
      </w:r>
      <w:r w:rsidR="008B6399">
        <w:rPr>
          <w:rFonts w:ascii="Cambria" w:hAnsi="Cambria"/>
        </w:rPr>
        <w:t xml:space="preserve"> For example, in Ethiopia, many households initially preferred cash, but following food price inflation in 2007-2</w:t>
      </w:r>
      <w:r w:rsidR="00763C67">
        <w:rPr>
          <w:rFonts w:ascii="Cambria" w:hAnsi="Cambria"/>
        </w:rPr>
        <w:t>0</w:t>
      </w:r>
      <w:r w:rsidR="008B6399">
        <w:rPr>
          <w:rFonts w:ascii="Cambria" w:hAnsi="Cambria"/>
        </w:rPr>
        <w:t>08, the value of cash relative to in-kind transfers declined, and respondents then strongly preferred food.</w:t>
      </w:r>
    </w:p>
    <w:p w14:paraId="6CD932EE" w14:textId="77777777" w:rsidR="008B6399" w:rsidRDefault="008B6399" w:rsidP="006D474E">
      <w:pPr>
        <w:rPr>
          <w:rFonts w:ascii="Cambria" w:hAnsi="Cambria"/>
        </w:rPr>
      </w:pPr>
    </w:p>
    <w:p w14:paraId="2F9A00B9" w14:textId="2D4FC450" w:rsidR="008B6399" w:rsidRDefault="008B6399" w:rsidP="008B6399">
      <w:pPr>
        <w:rPr>
          <w:rFonts w:ascii="Cambria" w:hAnsi="Cambria"/>
        </w:rPr>
      </w:pPr>
      <w:r>
        <w:rPr>
          <w:rFonts w:ascii="Cambria" w:hAnsi="Cambria"/>
        </w:rPr>
        <w:lastRenderedPageBreak/>
        <w:t>Given that households are clearly sensitive to differences between transfers, explain (as much as possible) the program design and provide i</w:t>
      </w:r>
      <w:r w:rsidR="006D474E" w:rsidRPr="008B6399">
        <w:rPr>
          <w:rFonts w:ascii="Cambria" w:hAnsi="Cambria"/>
        </w:rPr>
        <w:t>nformation about how different transfers would be delivered</w:t>
      </w:r>
      <w:r>
        <w:rPr>
          <w:rFonts w:ascii="Cambria" w:hAnsi="Cambria"/>
        </w:rPr>
        <w:t>. The following information will</w:t>
      </w:r>
      <w:r w:rsidR="006D474E" w:rsidRPr="008B6399">
        <w:rPr>
          <w:rFonts w:ascii="Cambria" w:hAnsi="Cambria"/>
        </w:rPr>
        <w:t xml:space="preserve"> help households make more accurate comparisons across transfers.</w:t>
      </w:r>
      <w:r w:rsidR="001C60BA" w:rsidRPr="008B6399">
        <w:rPr>
          <w:rFonts w:ascii="Cambria" w:hAnsi="Cambria"/>
        </w:rPr>
        <w:t xml:space="preserve"> </w:t>
      </w:r>
    </w:p>
    <w:p w14:paraId="35C6EE4C" w14:textId="40A22505" w:rsidR="006D474E" w:rsidRPr="000A4A98" w:rsidRDefault="006D474E" w:rsidP="0008416B">
      <w:pPr>
        <w:pStyle w:val="ListParagraph"/>
        <w:numPr>
          <w:ilvl w:val="0"/>
          <w:numId w:val="18"/>
        </w:numPr>
        <w:rPr>
          <w:rFonts w:ascii="Cambria" w:hAnsi="Cambria"/>
        </w:rPr>
      </w:pPr>
      <w:r w:rsidRPr="000A4A98">
        <w:rPr>
          <w:rFonts w:ascii="Cambria" w:hAnsi="Cambria"/>
        </w:rPr>
        <w:t xml:space="preserve">The value of a </w:t>
      </w:r>
      <w:r w:rsidR="001C60BA" w:rsidRPr="000A4A98">
        <w:rPr>
          <w:rFonts w:ascii="Cambria" w:hAnsi="Cambria"/>
        </w:rPr>
        <w:t xml:space="preserve">food </w:t>
      </w:r>
      <w:r w:rsidRPr="000A4A98">
        <w:rPr>
          <w:rFonts w:ascii="Cambria" w:hAnsi="Cambria"/>
        </w:rPr>
        <w:t xml:space="preserve">intervention </w:t>
      </w:r>
      <w:r w:rsidR="001C60BA" w:rsidRPr="000A4A98">
        <w:rPr>
          <w:rFonts w:ascii="Cambria" w:hAnsi="Cambria"/>
        </w:rPr>
        <w:t xml:space="preserve">versus </w:t>
      </w:r>
      <w:r w:rsidRPr="000A4A98">
        <w:rPr>
          <w:rFonts w:ascii="Cambria" w:hAnsi="Cambria"/>
        </w:rPr>
        <w:t xml:space="preserve">the value of a </w:t>
      </w:r>
      <w:r w:rsidR="001C60BA" w:rsidRPr="000A4A98">
        <w:rPr>
          <w:rFonts w:ascii="Cambria" w:hAnsi="Cambria"/>
        </w:rPr>
        <w:t xml:space="preserve">cash </w:t>
      </w:r>
      <w:r w:rsidRPr="000A4A98">
        <w:rPr>
          <w:rFonts w:ascii="Cambria" w:hAnsi="Cambria"/>
        </w:rPr>
        <w:t>intervention</w:t>
      </w:r>
    </w:p>
    <w:p w14:paraId="2BB0B672" w14:textId="77777777" w:rsidR="006D474E" w:rsidRPr="000A4A98" w:rsidRDefault="006D474E" w:rsidP="0008416B">
      <w:pPr>
        <w:pStyle w:val="ListParagraph"/>
        <w:numPr>
          <w:ilvl w:val="1"/>
          <w:numId w:val="18"/>
        </w:numPr>
        <w:rPr>
          <w:rFonts w:ascii="Cambria" w:hAnsi="Cambria"/>
        </w:rPr>
      </w:pPr>
      <w:r w:rsidRPr="000A4A98">
        <w:rPr>
          <w:rFonts w:ascii="Cambria" w:hAnsi="Cambria"/>
        </w:rPr>
        <w:t>If the market value of any current food intervention isn’t known, respondents can usually approximate its value.</w:t>
      </w:r>
    </w:p>
    <w:p w14:paraId="35540F47" w14:textId="77777777" w:rsidR="006D474E" w:rsidRPr="000A4A98" w:rsidRDefault="006D474E" w:rsidP="0008416B">
      <w:pPr>
        <w:pStyle w:val="ListParagraph"/>
        <w:numPr>
          <w:ilvl w:val="1"/>
          <w:numId w:val="18"/>
        </w:numPr>
        <w:rPr>
          <w:rFonts w:ascii="Cambria" w:hAnsi="Cambria"/>
        </w:rPr>
      </w:pPr>
      <w:r w:rsidRPr="000A4A98">
        <w:rPr>
          <w:rFonts w:ascii="Cambria" w:hAnsi="Cambria"/>
        </w:rPr>
        <w:t>Households should also know whether cash transfers will be indexed to a particular basket of goods, adjusted for inflation, etc.</w:t>
      </w:r>
    </w:p>
    <w:p w14:paraId="74DAE4CA" w14:textId="77777777" w:rsidR="006D474E" w:rsidRPr="000A4A98" w:rsidRDefault="006D474E" w:rsidP="0008416B">
      <w:pPr>
        <w:pStyle w:val="ListParagraph"/>
        <w:numPr>
          <w:ilvl w:val="0"/>
          <w:numId w:val="18"/>
        </w:numPr>
        <w:rPr>
          <w:rFonts w:ascii="Cambria" w:hAnsi="Cambria"/>
        </w:rPr>
      </w:pPr>
      <w:r w:rsidRPr="000A4A98">
        <w:rPr>
          <w:rFonts w:ascii="Cambria" w:hAnsi="Cambria"/>
        </w:rPr>
        <w:t>The likely composition of a food intervention</w:t>
      </w:r>
    </w:p>
    <w:p w14:paraId="0C881CF6" w14:textId="5198A326" w:rsidR="006D474E" w:rsidRPr="000A4A98" w:rsidRDefault="00720552" w:rsidP="0008416B">
      <w:pPr>
        <w:pStyle w:val="ListParagraph"/>
        <w:numPr>
          <w:ilvl w:val="0"/>
          <w:numId w:val="18"/>
        </w:numPr>
        <w:rPr>
          <w:rFonts w:ascii="Cambria" w:hAnsi="Cambria"/>
        </w:rPr>
      </w:pPr>
      <w:r w:rsidRPr="000A4A98">
        <w:rPr>
          <w:rFonts w:ascii="Cambria" w:hAnsi="Cambria"/>
        </w:rPr>
        <w:t>The households to be targeted</w:t>
      </w:r>
    </w:p>
    <w:p w14:paraId="5CCBBB58" w14:textId="10625DBA" w:rsidR="006D474E" w:rsidRPr="000A4A98" w:rsidRDefault="001C60BA" w:rsidP="0008416B">
      <w:pPr>
        <w:pStyle w:val="ListParagraph"/>
        <w:numPr>
          <w:ilvl w:val="0"/>
          <w:numId w:val="18"/>
        </w:numPr>
        <w:rPr>
          <w:rFonts w:ascii="Cambria" w:hAnsi="Cambria"/>
        </w:rPr>
      </w:pPr>
      <w:r w:rsidRPr="000A4A98">
        <w:rPr>
          <w:rFonts w:ascii="Cambria" w:hAnsi="Cambria"/>
        </w:rPr>
        <w:t>The f</w:t>
      </w:r>
      <w:r w:rsidR="006D474E" w:rsidRPr="000A4A98">
        <w:rPr>
          <w:rFonts w:ascii="Cambria" w:hAnsi="Cambria"/>
        </w:rPr>
        <w:t>requency of distribution</w:t>
      </w:r>
    </w:p>
    <w:p w14:paraId="0EDEFEBB" w14:textId="28B26CC2" w:rsidR="006D474E" w:rsidRPr="000A4A98" w:rsidRDefault="001C60BA" w:rsidP="0008416B">
      <w:pPr>
        <w:pStyle w:val="ListParagraph"/>
        <w:numPr>
          <w:ilvl w:val="0"/>
          <w:numId w:val="18"/>
        </w:numPr>
        <w:rPr>
          <w:rFonts w:ascii="Cambria" w:hAnsi="Cambria"/>
        </w:rPr>
      </w:pPr>
      <w:r w:rsidRPr="000A4A98">
        <w:rPr>
          <w:rFonts w:ascii="Cambria" w:hAnsi="Cambria"/>
        </w:rPr>
        <w:t>The m</w:t>
      </w:r>
      <w:r w:rsidR="006D474E" w:rsidRPr="000A4A98">
        <w:rPr>
          <w:rFonts w:ascii="Cambria" w:hAnsi="Cambria"/>
        </w:rPr>
        <w:t>eans of distribution (e.g., food delivered to distribution sites versus cash delivered through smart-card technology or cell phone)</w:t>
      </w:r>
    </w:p>
    <w:p w14:paraId="1BDF04A8" w14:textId="701DEBE9" w:rsidR="006D474E" w:rsidRPr="000A4A98" w:rsidRDefault="006D474E" w:rsidP="0008416B">
      <w:pPr>
        <w:pStyle w:val="ListParagraph"/>
        <w:numPr>
          <w:ilvl w:val="0"/>
          <w:numId w:val="18"/>
        </w:numPr>
        <w:rPr>
          <w:rFonts w:ascii="Cambria" w:hAnsi="Cambria"/>
        </w:rPr>
      </w:pPr>
      <w:r w:rsidRPr="000A4A98">
        <w:rPr>
          <w:rFonts w:ascii="Cambria" w:hAnsi="Cambria"/>
        </w:rPr>
        <w:t>T</w:t>
      </w:r>
      <w:r w:rsidR="00720552" w:rsidRPr="000A4A98">
        <w:rPr>
          <w:rFonts w:ascii="Cambria" w:hAnsi="Cambria"/>
        </w:rPr>
        <w:t>he t</w:t>
      </w:r>
      <w:r w:rsidRPr="000A4A98">
        <w:rPr>
          <w:rFonts w:ascii="Cambria" w:hAnsi="Cambria"/>
        </w:rPr>
        <w:t xml:space="preserve">argeting within households (e.g., household </w:t>
      </w:r>
      <w:r w:rsidR="001C60BA" w:rsidRPr="000A4A98">
        <w:rPr>
          <w:rFonts w:ascii="Cambria" w:hAnsi="Cambria"/>
        </w:rPr>
        <w:t>head</w:t>
      </w:r>
      <w:r w:rsidRPr="000A4A98">
        <w:rPr>
          <w:rFonts w:ascii="Cambria" w:hAnsi="Cambria"/>
        </w:rPr>
        <w:t>, eldest female member, mother)</w:t>
      </w:r>
    </w:p>
    <w:p w14:paraId="55C267C3" w14:textId="1647C92F" w:rsidR="006D474E" w:rsidRPr="0008416B" w:rsidRDefault="006D474E" w:rsidP="0008416B">
      <w:pPr>
        <w:rPr>
          <w:rFonts w:ascii="Cambria" w:hAnsi="Cambria"/>
        </w:rPr>
      </w:pPr>
      <w:r w:rsidRPr="0008416B">
        <w:rPr>
          <w:rFonts w:ascii="Cambria" w:hAnsi="Cambria"/>
        </w:rPr>
        <w:t>Individual interviews</w:t>
      </w:r>
      <w:r w:rsidR="0008416B">
        <w:rPr>
          <w:rFonts w:ascii="Cambria" w:hAnsi="Cambria"/>
        </w:rPr>
        <w:t xml:space="preserve"> with the members of the household most likely to be targeted (e.g., household head or female</w:t>
      </w:r>
      <w:r w:rsidR="00B27812">
        <w:rPr>
          <w:rFonts w:ascii="Cambria" w:hAnsi="Cambria"/>
        </w:rPr>
        <w:t xml:space="preserve"> adult</w:t>
      </w:r>
      <w:r w:rsidR="0008416B">
        <w:rPr>
          <w:rFonts w:ascii="Cambria" w:hAnsi="Cambria"/>
        </w:rPr>
        <w:t>)</w:t>
      </w:r>
      <w:r w:rsidRPr="0008416B">
        <w:rPr>
          <w:rFonts w:ascii="Cambria" w:hAnsi="Cambria"/>
        </w:rPr>
        <w:t xml:space="preserve"> are the most appropriate method for discussing preferences because they are less vulnerable to the influence that other household members or focus group members may exert over the respondent during group discussions.</w:t>
      </w:r>
    </w:p>
    <w:p w14:paraId="1E138FAA" w14:textId="77777777" w:rsidR="006D474E" w:rsidRDefault="006D474E" w:rsidP="006D474E">
      <w:pPr>
        <w:rPr>
          <w:rFonts w:ascii="Cambria" w:hAnsi="Cambria"/>
        </w:rPr>
      </w:pPr>
    </w:p>
    <w:p w14:paraId="6B6D6965" w14:textId="76309E66" w:rsidR="00EF227A" w:rsidRPr="00262180" w:rsidRDefault="00262180" w:rsidP="006D474E">
      <w:pPr>
        <w:rPr>
          <w:rFonts w:ascii="Cambria" w:hAnsi="Cambria"/>
          <w:i/>
          <w:u w:val="single"/>
        </w:rPr>
      </w:pPr>
      <w:r w:rsidRPr="00262180">
        <w:rPr>
          <w:rFonts w:ascii="Cambria" w:hAnsi="Cambria"/>
          <w:i/>
          <w:u w:val="single"/>
        </w:rPr>
        <w:t>Sample question</w:t>
      </w:r>
      <w:r>
        <w:rPr>
          <w:rFonts w:ascii="Cambria" w:hAnsi="Cambria"/>
          <w:i/>
          <w:u w:val="single"/>
        </w:rPr>
        <w:t xml:space="preserve"> on eliciting preferences</w:t>
      </w:r>
    </w:p>
    <w:p w14:paraId="4756DFF5" w14:textId="77777777" w:rsidR="00D50D1B" w:rsidRDefault="00D50D1B" w:rsidP="00D50D1B">
      <w:pPr>
        <w:widowControl w:val="0"/>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 hypothetical program offers a choice between the regular food aid package, the cash value equivalent of the food aid package or a mixture of cash and food to deal with food insecurity in this region. The following aspects of the program will stay the same irrespective of whether it is food/ cash or a combination:</w:t>
      </w:r>
    </w:p>
    <w:p w14:paraId="6ADA82E8"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sz w:val="20"/>
          <w:szCs w:val="20"/>
        </w:rPr>
      </w:pPr>
    </w:p>
    <w:p w14:paraId="5BDCF45E"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How often the transfer is delivered</w:t>
      </w:r>
    </w:p>
    <w:p w14:paraId="46979E2D"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t>The household member receiving the transfer</w:t>
      </w:r>
    </w:p>
    <w:p w14:paraId="419C10FE"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t>How and where the transfer is delivered</w:t>
      </w:r>
    </w:p>
    <w:p w14:paraId="1B44C8A7"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sz w:val="20"/>
          <w:szCs w:val="20"/>
        </w:rPr>
      </w:pPr>
    </w:p>
    <w:p w14:paraId="38D2631E" w14:textId="77777777" w:rsidR="00D50D1B" w:rsidRDefault="00D50D1B" w:rsidP="00D50D1B">
      <w:pPr>
        <w:widowControl w:val="0"/>
        <w:tabs>
          <w:tab w:val="left" w:pos="900"/>
        </w:tabs>
        <w:autoSpaceDE w:val="0"/>
        <w:autoSpaceDN w:val="0"/>
        <w:adjustRightInd w:val="0"/>
        <w:ind w:left="900" w:hanging="360"/>
        <w:rPr>
          <w:rFonts w:ascii="Times New Roman" w:hAnsi="Times New Roman" w:cs="Times New Roman"/>
          <w:sz w:val="20"/>
          <w:szCs w:val="20"/>
        </w:rPr>
      </w:pPr>
      <w:r>
        <w:rPr>
          <w:rFonts w:ascii="Times New Roman" w:hAnsi="Times New Roman" w:cs="Times New Roman"/>
          <w:sz w:val="20"/>
          <w:szCs w:val="20"/>
        </w:rPr>
        <w:tab/>
      </w:r>
    </w:p>
    <w:p w14:paraId="7A31556E" w14:textId="77777777" w:rsidR="00D50D1B" w:rsidRDefault="00D50D1B" w:rsidP="00D50D1B">
      <w:pPr>
        <w:widowControl w:val="0"/>
        <w:numPr>
          <w:ilvl w:val="0"/>
          <w:numId w:val="47"/>
        </w:numPr>
        <w:tabs>
          <w:tab w:val="left" w:pos="900"/>
          <w:tab w:val="left" w:pos="1080"/>
        </w:tabs>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Given this choice between receiving food, cash or a mix, each of equal value, which would you prefer?  (tick the one that applies)”</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72"/>
        <w:gridCol w:w="1872"/>
        <w:gridCol w:w="1872"/>
      </w:tblGrid>
      <w:tr w:rsidR="00D50D1B" w14:paraId="1C1836D3" w14:textId="77777777">
        <w:tc>
          <w:tcPr>
            <w:tcW w:w="1872" w:type="dxa"/>
            <w:tcBorders>
              <w:top w:val="single" w:sz="4" w:space="0" w:color="BFBFBF"/>
              <w:bottom w:val="single" w:sz="4" w:space="0" w:color="BFBFBF"/>
              <w:right w:val="single" w:sz="4" w:space="0" w:color="BFBFBF"/>
            </w:tcBorders>
            <w:shd w:val="clear" w:color="auto" w:fill="D9D9D9"/>
            <w:tcMar>
              <w:top w:w="100" w:type="nil"/>
              <w:right w:w="100" w:type="nil"/>
            </w:tcMar>
          </w:tcPr>
          <w:p w14:paraId="51A74D81" w14:textId="77777777" w:rsidR="00D50D1B" w:rsidRDefault="00D50D1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Cash</w:t>
            </w:r>
          </w:p>
        </w:tc>
        <w:tc>
          <w:tcPr>
            <w:tcW w:w="1872" w:type="dxa"/>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tcPr>
          <w:p w14:paraId="1A55211C" w14:textId="77777777" w:rsidR="00D50D1B" w:rsidRDefault="00D50D1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Food</w:t>
            </w:r>
          </w:p>
        </w:tc>
        <w:tc>
          <w:tcPr>
            <w:tcW w:w="1872" w:type="dxa"/>
            <w:tcBorders>
              <w:top w:val="single" w:sz="4" w:space="0" w:color="BFBFBF"/>
              <w:left w:val="single" w:sz="4" w:space="0" w:color="BFBFBF"/>
              <w:bottom w:val="single" w:sz="4" w:space="0" w:color="BFBFBF"/>
            </w:tcBorders>
            <w:shd w:val="clear" w:color="auto" w:fill="D9D9D9"/>
            <w:tcMar>
              <w:top w:w="100" w:type="nil"/>
              <w:right w:w="100" w:type="nil"/>
            </w:tcMar>
          </w:tcPr>
          <w:p w14:paraId="4EE40171" w14:textId="77777777" w:rsidR="00D50D1B" w:rsidRDefault="00D50D1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Mix</w:t>
            </w:r>
          </w:p>
        </w:tc>
      </w:tr>
      <w:tr w:rsidR="00D50D1B" w14:paraId="2FC81B3C" w14:textId="77777777">
        <w:tblPrEx>
          <w:tblBorders>
            <w:top w:val="none" w:sz="0" w:space="0" w:color="auto"/>
            <w:bottom w:val="single" w:sz="4" w:space="0" w:color="BFBFBF"/>
          </w:tblBorders>
        </w:tblPrEx>
        <w:tc>
          <w:tcPr>
            <w:tcW w:w="1872" w:type="dxa"/>
            <w:tcBorders>
              <w:top w:val="single" w:sz="4" w:space="0" w:color="BFBFBF"/>
              <w:bottom w:val="single" w:sz="4" w:space="0" w:color="BFBFBF"/>
              <w:right w:val="single" w:sz="4" w:space="0" w:color="BFBFBF"/>
            </w:tcBorders>
            <w:tcMar>
              <w:top w:w="100" w:type="nil"/>
              <w:right w:w="100" w:type="nil"/>
            </w:tcMar>
          </w:tcPr>
          <w:p w14:paraId="67FC1045" w14:textId="77777777" w:rsidR="00D50D1B" w:rsidRDefault="00D50D1B">
            <w:pPr>
              <w:widowControl w:val="0"/>
              <w:autoSpaceDE w:val="0"/>
              <w:autoSpaceDN w:val="0"/>
              <w:adjustRightInd w:val="0"/>
              <w:rPr>
                <w:rFonts w:ascii="Times New Roman" w:hAnsi="Times New Roman" w:cs="Times New Roman"/>
                <w:sz w:val="20"/>
                <w:szCs w:val="20"/>
              </w:rPr>
            </w:pPr>
          </w:p>
        </w:tc>
        <w:tc>
          <w:tcPr>
            <w:tcW w:w="187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091C2E" w14:textId="77777777" w:rsidR="00D50D1B" w:rsidRDefault="00D50D1B">
            <w:pPr>
              <w:widowControl w:val="0"/>
              <w:autoSpaceDE w:val="0"/>
              <w:autoSpaceDN w:val="0"/>
              <w:adjustRightInd w:val="0"/>
              <w:rPr>
                <w:rFonts w:ascii="Times New Roman" w:hAnsi="Times New Roman" w:cs="Times New Roman"/>
                <w:sz w:val="20"/>
                <w:szCs w:val="20"/>
              </w:rPr>
            </w:pPr>
          </w:p>
        </w:tc>
        <w:tc>
          <w:tcPr>
            <w:tcW w:w="1872" w:type="dxa"/>
            <w:tcBorders>
              <w:top w:val="single" w:sz="4" w:space="0" w:color="BFBFBF"/>
              <w:left w:val="single" w:sz="4" w:space="0" w:color="BFBFBF"/>
              <w:bottom w:val="single" w:sz="4" w:space="0" w:color="BFBFBF"/>
            </w:tcBorders>
            <w:tcMar>
              <w:top w:w="100" w:type="nil"/>
              <w:right w:w="100" w:type="nil"/>
            </w:tcMar>
          </w:tcPr>
          <w:p w14:paraId="148AE6E2" w14:textId="77777777" w:rsidR="00D50D1B" w:rsidRDefault="00D50D1B">
            <w:pPr>
              <w:widowControl w:val="0"/>
              <w:autoSpaceDE w:val="0"/>
              <w:autoSpaceDN w:val="0"/>
              <w:adjustRightInd w:val="0"/>
              <w:rPr>
                <w:rFonts w:ascii="Times New Roman" w:hAnsi="Times New Roman" w:cs="Times New Roman"/>
                <w:sz w:val="20"/>
                <w:szCs w:val="20"/>
              </w:rPr>
            </w:pPr>
          </w:p>
        </w:tc>
      </w:tr>
    </w:tbl>
    <w:p w14:paraId="2AC989F1" w14:textId="77777777" w:rsidR="00D50D1B" w:rsidRDefault="00D50D1B" w:rsidP="00D50D1B">
      <w:pPr>
        <w:widowControl w:val="0"/>
        <w:autoSpaceDE w:val="0"/>
        <w:autoSpaceDN w:val="0"/>
        <w:adjustRightInd w:val="0"/>
        <w:rPr>
          <w:rFonts w:ascii="Cambria" w:hAnsi="Cambria" w:cs="Cambria"/>
        </w:rPr>
      </w:pPr>
    </w:p>
    <w:p w14:paraId="3C83B8EC" w14:textId="77777777" w:rsidR="00D50D1B" w:rsidRPr="000A4A98" w:rsidRDefault="00D50D1B" w:rsidP="006D474E">
      <w:pPr>
        <w:rPr>
          <w:rFonts w:ascii="Cambria" w:hAnsi="Cambria"/>
        </w:rPr>
      </w:pPr>
    </w:p>
    <w:p w14:paraId="2D19A18A" w14:textId="38E28F66" w:rsidR="00A826F0" w:rsidRPr="00A826F0" w:rsidRDefault="00A826F0" w:rsidP="00A826F0">
      <w:pPr>
        <w:rPr>
          <w:rFonts w:ascii="Cambria" w:hAnsi="Cambria"/>
          <w:i/>
          <w:u w:val="single"/>
        </w:rPr>
      </w:pPr>
      <w:r w:rsidRPr="00A826F0">
        <w:rPr>
          <w:rFonts w:ascii="Cambria" w:hAnsi="Cambria"/>
          <w:i/>
          <w:u w:val="single"/>
        </w:rPr>
        <w:t>Example: To what extent are preferences mutable?</w:t>
      </w:r>
    </w:p>
    <w:p w14:paraId="4B56EF04" w14:textId="2C3ED29E" w:rsidR="00A826F0" w:rsidRPr="000A4A98" w:rsidRDefault="00A826F0" w:rsidP="00A826F0">
      <w:pPr>
        <w:rPr>
          <w:rFonts w:ascii="Cambria" w:hAnsi="Cambria"/>
        </w:rPr>
      </w:pPr>
      <w:r w:rsidRPr="000A4A98">
        <w:rPr>
          <w:rFonts w:ascii="Cambria" w:hAnsi="Cambria"/>
        </w:rPr>
        <w:t>Below are results from a transfer preference experiment in Northern Kenya. Randomly sampled respondents were asked whether they would prefer 200KSh</w:t>
      </w:r>
      <w:r>
        <w:rPr>
          <w:rFonts w:ascii="Cambria" w:hAnsi="Cambria"/>
        </w:rPr>
        <w:t xml:space="preserve"> (roughly equivalent to a day’s wages for unskilled labor)</w:t>
      </w:r>
      <w:r w:rsidRPr="000A4A98">
        <w:rPr>
          <w:rFonts w:ascii="Cambria" w:hAnsi="Cambria"/>
        </w:rPr>
        <w:t xml:space="preserve"> of food (maize), cash, or a mixture of both (50%-50%) paid that day. Of the 120 respondents, 59 were asked to reveal their preferences to the researcher privately, i.e., not in front of any other respondents. The remaining 61 respondents were asked to reveal their preferences in front of small groups of fellow respondents. The results revealed that asking respondents for their preferenc</w:t>
      </w:r>
      <w:r w:rsidR="003A1DFC">
        <w:rPr>
          <w:rFonts w:ascii="Cambria" w:hAnsi="Cambria"/>
        </w:rPr>
        <w:t>es in public led them to increase the likelihood the</w:t>
      </w:r>
      <w:r w:rsidR="00874EFC">
        <w:rPr>
          <w:rFonts w:ascii="Cambria" w:hAnsi="Cambria"/>
        </w:rPr>
        <w:t xml:space="preserve">y </w:t>
      </w:r>
      <w:r w:rsidR="00874EFC">
        <w:rPr>
          <w:rFonts w:ascii="Cambria" w:hAnsi="Cambria"/>
        </w:rPr>
        <w:lastRenderedPageBreak/>
        <w:t>would choose at least some food (i.e., either food or a mix)</w:t>
      </w:r>
      <w:r w:rsidRPr="000A4A98">
        <w:rPr>
          <w:rFonts w:ascii="Cambria" w:hAnsi="Cambria"/>
        </w:rPr>
        <w:t>, suggesting that fellow respondents’ presence affects preferences. Thus, when eliciting preferences, especially from marginalized sub-groups, it may be more effective to do so one-on-one and outside of focus group discussions.</w:t>
      </w:r>
    </w:p>
    <w:p w14:paraId="1803176B" w14:textId="77777777" w:rsidR="00A826F0" w:rsidRPr="000A4A98" w:rsidRDefault="00A826F0" w:rsidP="00A826F0">
      <w:pPr>
        <w:rPr>
          <w:rFonts w:ascii="Cambria" w:hAnsi="Cambria"/>
          <w:b/>
        </w:rPr>
      </w:pPr>
    </w:p>
    <w:p w14:paraId="49A6110D" w14:textId="77777777" w:rsidR="00A826F0" w:rsidRPr="000A4A98" w:rsidRDefault="00A826F0" w:rsidP="00A826F0">
      <w:pPr>
        <w:rPr>
          <w:rFonts w:ascii="Cambria" w:hAnsi="Cambria"/>
          <w:b/>
        </w:rPr>
      </w:pPr>
      <w:r w:rsidRPr="000A4A98">
        <w:rPr>
          <w:rFonts w:ascii="Cambria" w:hAnsi="Cambria"/>
          <w:b/>
          <w:noProof/>
        </w:rPr>
        <w:drawing>
          <wp:inline distT="0" distB="0" distL="0" distR="0" wp14:anchorId="5DF9E74F" wp14:editId="572B995D">
            <wp:extent cx="4927505" cy="2440940"/>
            <wp:effectExtent l="25400" t="0" r="95" b="0"/>
            <wp:docPr id="35" name="Picture 34" descr="P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ences.jpg"/>
                    <pic:cNvPicPr/>
                  </pic:nvPicPr>
                  <pic:blipFill>
                    <a:blip r:embed="rId16" cstate="print"/>
                    <a:stretch>
                      <a:fillRect/>
                    </a:stretch>
                  </pic:blipFill>
                  <pic:spPr>
                    <a:xfrm>
                      <a:off x="0" y="0"/>
                      <a:ext cx="4927505" cy="2440940"/>
                    </a:xfrm>
                    <a:prstGeom prst="rect">
                      <a:avLst/>
                    </a:prstGeom>
                  </pic:spPr>
                </pic:pic>
              </a:graphicData>
            </a:graphic>
          </wp:inline>
        </w:drawing>
      </w:r>
    </w:p>
    <w:p w14:paraId="02E90DDF" w14:textId="77777777" w:rsidR="00A826F0" w:rsidRPr="000E0145" w:rsidRDefault="00A826F0" w:rsidP="00A826F0">
      <w:pPr>
        <w:rPr>
          <w:rFonts w:ascii="Cambria" w:hAnsi="Cambria"/>
        </w:rPr>
      </w:pPr>
      <w:r w:rsidRPr="000A4A98">
        <w:rPr>
          <w:rFonts w:ascii="Cambria" w:hAnsi="Cambria"/>
          <w:b/>
        </w:rPr>
        <w:t xml:space="preserve"> </w:t>
      </w:r>
      <w:r w:rsidRPr="000E0145">
        <w:rPr>
          <w:rFonts w:ascii="Cambria" w:hAnsi="Cambria"/>
        </w:rPr>
        <w:t>Source: Lentz et al. 2012</w:t>
      </w:r>
    </w:p>
    <w:p w14:paraId="15CE798C" w14:textId="77777777" w:rsidR="00A826F0" w:rsidRPr="000A4A98" w:rsidRDefault="00A826F0" w:rsidP="006D474E">
      <w:pPr>
        <w:rPr>
          <w:rFonts w:ascii="Cambria" w:hAnsi="Cambria"/>
        </w:rPr>
      </w:pPr>
    </w:p>
    <w:p w14:paraId="6CE4A461" w14:textId="770205F4" w:rsidR="00E32C44" w:rsidRPr="00E32C44" w:rsidRDefault="00E32C44" w:rsidP="00E32C44">
      <w:pPr>
        <w:rPr>
          <w:rFonts w:ascii="Cambria" w:hAnsi="Cambria"/>
          <w:i/>
          <w:u w:val="single"/>
        </w:rPr>
      </w:pPr>
      <w:r w:rsidRPr="00E32C44">
        <w:rPr>
          <w:rFonts w:ascii="Cambria" w:hAnsi="Cambria"/>
          <w:i/>
          <w:u w:val="single"/>
        </w:rPr>
        <w:t>Interpreting findings</w:t>
      </w:r>
      <w:r>
        <w:rPr>
          <w:rFonts w:ascii="Cambria" w:hAnsi="Cambria"/>
          <w:i/>
          <w:u w:val="single"/>
        </w:rPr>
        <w:t xml:space="preserve"> on preferences</w:t>
      </w:r>
    </w:p>
    <w:p w14:paraId="4FCE87EA" w14:textId="77777777" w:rsidR="00DF56E1" w:rsidRDefault="000517B2" w:rsidP="00D53DC5">
      <w:pPr>
        <w:rPr>
          <w:rFonts w:ascii="Cambria" w:hAnsi="Cambria"/>
        </w:rPr>
      </w:pPr>
      <w:r>
        <w:rPr>
          <w:rFonts w:ascii="Cambria" w:hAnsi="Cambria"/>
        </w:rPr>
        <w:t>Tallying preferences for cash, food or a mixture will reveal whether there is a strongly preferred option or whether there is diversity of preferences among respondents. If there is</w:t>
      </w:r>
      <w:r w:rsidR="0019751D">
        <w:rPr>
          <w:rFonts w:ascii="Cambria" w:hAnsi="Cambria"/>
        </w:rPr>
        <w:t>n’t a dominant preference</w:t>
      </w:r>
      <w:r>
        <w:rPr>
          <w:rFonts w:ascii="Cambria" w:hAnsi="Cambria"/>
        </w:rPr>
        <w:t>, try to tease out whether that diversity is due to household characteristics (e.g., household heads prefer cash but non-heads prefer food or a mix) or due to market-based factors (e.g., households lying within a certain radius from a market prefer cash and vouchers while those lying outside the radius do not).</w:t>
      </w:r>
      <w:r w:rsidR="00932498">
        <w:rPr>
          <w:rFonts w:ascii="Cambria" w:hAnsi="Cambria"/>
        </w:rPr>
        <w:t xml:space="preserve"> </w:t>
      </w:r>
    </w:p>
    <w:p w14:paraId="735E006D" w14:textId="77777777" w:rsidR="00DF56E1" w:rsidRDefault="00DF56E1" w:rsidP="00D53DC5">
      <w:pPr>
        <w:rPr>
          <w:rFonts w:ascii="Cambria" w:hAnsi="Cambria"/>
        </w:rPr>
      </w:pPr>
    </w:p>
    <w:p w14:paraId="35B503B7" w14:textId="77777777" w:rsidR="00DF56E1" w:rsidRPr="000A4A98" w:rsidRDefault="00932498" w:rsidP="00DF56E1">
      <w:pPr>
        <w:rPr>
          <w:rFonts w:ascii="Cambria" w:hAnsi="Cambria"/>
        </w:rPr>
      </w:pPr>
      <w:r>
        <w:rPr>
          <w:rFonts w:ascii="Cambria" w:hAnsi="Cambria"/>
        </w:rPr>
        <w:t xml:space="preserve">If household characteristics are driving preferences, </w:t>
      </w:r>
      <w:r w:rsidR="003B43B1">
        <w:rPr>
          <w:rFonts w:ascii="Cambria" w:hAnsi="Cambria"/>
        </w:rPr>
        <w:t>consider weighing the preferences more heavily for those</w:t>
      </w:r>
      <w:r>
        <w:rPr>
          <w:rFonts w:ascii="Cambria" w:hAnsi="Cambria"/>
        </w:rPr>
        <w:t xml:space="preserve"> households are most representative of the population to be targeted.</w:t>
      </w:r>
      <w:r w:rsidR="001B1D73">
        <w:rPr>
          <w:rFonts w:ascii="Cambria" w:hAnsi="Cambria"/>
        </w:rPr>
        <w:t xml:space="preserve"> </w:t>
      </w:r>
      <w:r w:rsidR="00DF56E1">
        <w:rPr>
          <w:rFonts w:ascii="Cambria" w:hAnsi="Cambria"/>
        </w:rPr>
        <w:t>Alternatively, b</w:t>
      </w:r>
      <w:r w:rsidR="00DF56E1" w:rsidRPr="000A4A98">
        <w:rPr>
          <w:rFonts w:ascii="Cambria" w:hAnsi="Cambria"/>
        </w:rPr>
        <w:t>ecause households have broader basic needs than just food, even very poor households commonly express a clear preference for at least some cash in addition to food. Proportional piling using beans or stones can be an effective way to get at a respondent’s preferred mixture.</w:t>
      </w:r>
      <w:r w:rsidR="00DF56E1">
        <w:rPr>
          <w:rFonts w:ascii="Cambria" w:hAnsi="Cambria"/>
        </w:rPr>
        <w:t xml:space="preserve"> </w:t>
      </w:r>
    </w:p>
    <w:p w14:paraId="3F8D4779" w14:textId="77777777" w:rsidR="00DF56E1" w:rsidRDefault="00DF56E1" w:rsidP="00D53DC5">
      <w:pPr>
        <w:rPr>
          <w:rFonts w:ascii="Cambria" w:hAnsi="Cambria"/>
        </w:rPr>
      </w:pPr>
    </w:p>
    <w:p w14:paraId="5711F5DA" w14:textId="66A6FD88" w:rsidR="00DF5B38" w:rsidRPr="00D53DC5" w:rsidRDefault="001B1D73" w:rsidP="00D53DC5">
      <w:pPr>
        <w:rPr>
          <w:rFonts w:ascii="Cambria" w:hAnsi="Cambria"/>
        </w:rPr>
      </w:pPr>
      <w:r>
        <w:rPr>
          <w:rFonts w:ascii="Cambria" w:hAnsi="Cambria"/>
        </w:rPr>
        <w:t xml:space="preserve">If market-based factors are driving the preference differences and if </w:t>
      </w:r>
      <w:r w:rsidRPr="000A4A98">
        <w:rPr>
          <w:rFonts w:ascii="Cambria" w:hAnsi="Cambria"/>
        </w:rPr>
        <w:t>the response analysis points to one form of transfer but households prefer another, investigate this issue further. Households may have additional insight into how markets operate or face constraints that were not well-captured in other aspects of the analysis.</w:t>
      </w:r>
    </w:p>
    <w:p w14:paraId="5BA4ABF6" w14:textId="77777777" w:rsidR="006D474E" w:rsidRPr="000A4A98" w:rsidRDefault="006D474E" w:rsidP="006D474E">
      <w:pPr>
        <w:rPr>
          <w:rFonts w:ascii="Cambria" w:hAnsi="Cambria"/>
        </w:rPr>
      </w:pPr>
    </w:p>
    <w:p w14:paraId="5765D395" w14:textId="0507DCE6" w:rsidR="006D474E" w:rsidRPr="006203BD" w:rsidRDefault="006203BD" w:rsidP="006D474E">
      <w:pPr>
        <w:rPr>
          <w:rFonts w:ascii="Cambria" w:hAnsi="Cambria"/>
          <w:i/>
          <w:u w:val="single"/>
        </w:rPr>
      </w:pPr>
      <w:r w:rsidRPr="000A4A98">
        <w:rPr>
          <w:rFonts w:ascii="Cambria" w:hAnsi="Cambria"/>
          <w:i/>
          <w:u w:val="single"/>
        </w:rPr>
        <w:t xml:space="preserve">Limitations of the assessing </w:t>
      </w:r>
      <w:r>
        <w:rPr>
          <w:rFonts w:ascii="Cambria" w:hAnsi="Cambria"/>
          <w:i/>
          <w:u w:val="single"/>
        </w:rPr>
        <w:t>preferences</w:t>
      </w:r>
    </w:p>
    <w:p w14:paraId="7872E573" w14:textId="641B47DC" w:rsidR="006D474E" w:rsidRPr="000A4A98" w:rsidRDefault="006D474E" w:rsidP="006D474E">
      <w:pPr>
        <w:tabs>
          <w:tab w:val="left" w:pos="90"/>
          <w:tab w:val="left" w:pos="360"/>
        </w:tabs>
        <w:rPr>
          <w:rFonts w:ascii="Cambria" w:hAnsi="Cambria"/>
        </w:rPr>
      </w:pPr>
      <w:r w:rsidRPr="000A4A98">
        <w:rPr>
          <w:rFonts w:ascii="Cambria" w:hAnsi="Cambria"/>
        </w:rPr>
        <w:t xml:space="preserve">To most accurately assess preferences, </w:t>
      </w:r>
      <w:r w:rsidR="004D2228" w:rsidRPr="000A4A98">
        <w:rPr>
          <w:rFonts w:ascii="Cambria" w:hAnsi="Cambria"/>
        </w:rPr>
        <w:t xml:space="preserve">it is important to </w:t>
      </w:r>
      <w:r w:rsidRPr="000A4A98">
        <w:rPr>
          <w:rFonts w:ascii="Cambria" w:hAnsi="Cambria"/>
        </w:rPr>
        <w:t>know who will be</w:t>
      </w:r>
      <w:r w:rsidR="004D2228" w:rsidRPr="000A4A98">
        <w:rPr>
          <w:rFonts w:ascii="Cambria" w:hAnsi="Cambria"/>
        </w:rPr>
        <w:t xml:space="preserve"> the</w:t>
      </w:r>
      <w:r w:rsidRPr="000A4A98">
        <w:rPr>
          <w:rFonts w:ascii="Cambria" w:hAnsi="Cambria"/>
        </w:rPr>
        <w:t xml:space="preserve"> likely recipients. However, targeting decisions may be made later, once budgetary allotments are known. Further, household respondents will need </w:t>
      </w:r>
      <w:r w:rsidR="004D2228" w:rsidRPr="000A4A98">
        <w:rPr>
          <w:rFonts w:ascii="Cambria" w:hAnsi="Cambria"/>
        </w:rPr>
        <w:t xml:space="preserve">to </w:t>
      </w:r>
      <w:r w:rsidRPr="000A4A98">
        <w:rPr>
          <w:rFonts w:ascii="Cambria" w:hAnsi="Cambria"/>
        </w:rPr>
        <w:t>clear</w:t>
      </w:r>
      <w:r w:rsidR="004D2228" w:rsidRPr="000A4A98">
        <w:rPr>
          <w:rFonts w:ascii="Cambria" w:hAnsi="Cambria"/>
        </w:rPr>
        <w:t>ly</w:t>
      </w:r>
      <w:r w:rsidRPr="000A4A98">
        <w:rPr>
          <w:rFonts w:ascii="Cambria" w:hAnsi="Cambria"/>
        </w:rPr>
        <w:t xml:space="preserve"> </w:t>
      </w:r>
      <w:r w:rsidRPr="000A4A98">
        <w:rPr>
          <w:rFonts w:ascii="Cambria" w:hAnsi="Cambria"/>
        </w:rPr>
        <w:lastRenderedPageBreak/>
        <w:t xml:space="preserve">understanding the choice they are making. Respondents may prefer food </w:t>
      </w:r>
      <w:r w:rsidR="004D2228" w:rsidRPr="000A4A98">
        <w:rPr>
          <w:rFonts w:ascii="Cambria" w:hAnsi="Cambria"/>
        </w:rPr>
        <w:t xml:space="preserve">over </w:t>
      </w:r>
      <w:r w:rsidRPr="000A4A98">
        <w:rPr>
          <w:rFonts w:ascii="Cambria" w:hAnsi="Cambria"/>
        </w:rPr>
        <w:t xml:space="preserve">vouchers if vouchers can only </w:t>
      </w:r>
      <w:r w:rsidR="004D2228" w:rsidRPr="000A4A98">
        <w:rPr>
          <w:rFonts w:ascii="Cambria" w:hAnsi="Cambria"/>
        </w:rPr>
        <w:t xml:space="preserve">be </w:t>
      </w:r>
      <w:r w:rsidRPr="000A4A98">
        <w:rPr>
          <w:rFonts w:ascii="Cambria" w:hAnsi="Cambria"/>
        </w:rPr>
        <w:t xml:space="preserve">spent at </w:t>
      </w:r>
      <w:r w:rsidR="004D2228" w:rsidRPr="000A4A98">
        <w:rPr>
          <w:rFonts w:ascii="Cambria" w:hAnsi="Cambria"/>
        </w:rPr>
        <w:t xml:space="preserve">inconveniently located </w:t>
      </w:r>
      <w:r w:rsidRPr="000A4A98">
        <w:rPr>
          <w:rFonts w:ascii="Cambria" w:hAnsi="Cambria"/>
        </w:rPr>
        <w:t>market shops</w:t>
      </w:r>
      <w:r w:rsidR="004D2228" w:rsidRPr="000A4A98">
        <w:rPr>
          <w:rFonts w:ascii="Cambria" w:hAnsi="Cambria"/>
        </w:rPr>
        <w:t>. However,</w:t>
      </w:r>
      <w:r w:rsidRPr="000A4A98">
        <w:rPr>
          <w:rFonts w:ascii="Cambria" w:hAnsi="Cambria"/>
        </w:rPr>
        <w:t xml:space="preserve"> </w:t>
      </w:r>
      <w:r w:rsidR="000955A8" w:rsidRPr="000A4A98">
        <w:rPr>
          <w:rFonts w:ascii="Cambria" w:hAnsi="Cambria"/>
        </w:rPr>
        <w:t>they</w:t>
      </w:r>
      <w:r w:rsidRPr="000A4A98">
        <w:rPr>
          <w:rFonts w:ascii="Cambria" w:hAnsi="Cambria"/>
        </w:rPr>
        <w:t xml:space="preserve"> may prefer vouchers</w:t>
      </w:r>
      <w:r w:rsidR="004D2228" w:rsidRPr="000A4A98">
        <w:rPr>
          <w:rFonts w:ascii="Cambria" w:hAnsi="Cambria"/>
        </w:rPr>
        <w:t xml:space="preserve"> if the vouchers are flexible</w:t>
      </w:r>
      <w:r w:rsidRPr="000A4A98">
        <w:rPr>
          <w:rFonts w:ascii="Cambria" w:hAnsi="Cambria"/>
        </w:rPr>
        <w:t>. Respondents concerned about inflation may be wary of non-inflation indexed cash transfers</w:t>
      </w:r>
      <w:r w:rsidR="006203BD">
        <w:rPr>
          <w:rFonts w:ascii="Cambria" w:hAnsi="Cambria"/>
        </w:rPr>
        <w:t>.</w:t>
      </w:r>
    </w:p>
    <w:p w14:paraId="6AD96350" w14:textId="77777777" w:rsidR="006D474E" w:rsidRPr="000A4A98" w:rsidRDefault="006D474E" w:rsidP="006D474E">
      <w:pPr>
        <w:rPr>
          <w:rFonts w:ascii="Cambria" w:hAnsi="Cambria"/>
        </w:rPr>
      </w:pPr>
    </w:p>
    <w:p w14:paraId="7A91B5F0" w14:textId="3C28BD4A" w:rsidR="00B628AC" w:rsidRDefault="00B628AC" w:rsidP="00DB42B6">
      <w:pPr>
        <w:rPr>
          <w:rFonts w:ascii="Cambria" w:hAnsi="Cambria"/>
          <w:b/>
        </w:rPr>
      </w:pPr>
      <w:r>
        <w:rPr>
          <w:rFonts w:ascii="Cambria" w:hAnsi="Cambria"/>
          <w:b/>
        </w:rPr>
        <w:t>Income and consumption</w:t>
      </w:r>
    </w:p>
    <w:p w14:paraId="3CCE7193" w14:textId="77777777" w:rsidR="00AD6476" w:rsidRDefault="00D55AA4" w:rsidP="00D55AA4">
      <w:pPr>
        <w:rPr>
          <w:rFonts w:ascii="Cambria" w:hAnsi="Cambria"/>
        </w:rPr>
      </w:pPr>
      <w:r>
        <w:rPr>
          <w:rFonts w:ascii="Cambria" w:hAnsi="Cambria"/>
        </w:rPr>
        <w:t xml:space="preserve">Preferences shape demand. Whether or not a household is able to consume what they prefer depends not only on market access and food availability but also on income. We </w:t>
      </w:r>
      <w:r w:rsidRPr="000A4A98">
        <w:rPr>
          <w:rFonts w:ascii="Cambria" w:hAnsi="Cambria"/>
        </w:rPr>
        <w:t xml:space="preserve">consider </w:t>
      </w:r>
      <w:r>
        <w:rPr>
          <w:rFonts w:ascii="Cambria" w:hAnsi="Cambria"/>
        </w:rPr>
        <w:t>a few</w:t>
      </w:r>
      <w:r w:rsidRPr="000A4A98">
        <w:rPr>
          <w:rFonts w:ascii="Cambria" w:hAnsi="Cambria"/>
        </w:rPr>
        <w:t xml:space="preserve"> </w:t>
      </w:r>
      <w:r>
        <w:rPr>
          <w:rFonts w:ascii="Cambria" w:hAnsi="Cambria"/>
        </w:rPr>
        <w:t xml:space="preserve">important </w:t>
      </w:r>
      <w:r w:rsidRPr="000A4A98">
        <w:rPr>
          <w:rFonts w:ascii="Cambria" w:hAnsi="Cambria"/>
        </w:rPr>
        <w:t xml:space="preserve">relationships between </w:t>
      </w:r>
      <w:r w:rsidR="00E0519F">
        <w:rPr>
          <w:rFonts w:ascii="Cambria" w:hAnsi="Cambria"/>
        </w:rPr>
        <w:t xml:space="preserve">the </w:t>
      </w:r>
      <w:r w:rsidRPr="000A4A98">
        <w:rPr>
          <w:rFonts w:ascii="Cambria" w:hAnsi="Cambria"/>
        </w:rPr>
        <w:t>food commodities</w:t>
      </w:r>
      <w:r w:rsidR="00E0519F">
        <w:rPr>
          <w:rFonts w:ascii="Cambria" w:hAnsi="Cambria"/>
        </w:rPr>
        <w:t xml:space="preserve"> demanded</w:t>
      </w:r>
      <w:r w:rsidRPr="000A4A98">
        <w:rPr>
          <w:rFonts w:ascii="Cambria" w:hAnsi="Cambria"/>
        </w:rPr>
        <w:t xml:space="preserve"> and </w:t>
      </w:r>
      <w:r w:rsidR="00643DED">
        <w:rPr>
          <w:rFonts w:ascii="Cambria" w:hAnsi="Cambria"/>
        </w:rPr>
        <w:t>income</w:t>
      </w:r>
      <w:r w:rsidRPr="000A4A98">
        <w:rPr>
          <w:rFonts w:ascii="Cambria" w:hAnsi="Cambria"/>
        </w:rPr>
        <w:t xml:space="preserve">. Engel’s Law states that as income increases, the proportion of the budget spent on food decreases. Bennett’s Law states that as income increases, the proportion of the budget spent on ‘starchy-staples’ decreases. Bennett’s Law reflects a desire for dietary diversity. </w:t>
      </w:r>
    </w:p>
    <w:p w14:paraId="1994BEBE" w14:textId="77777777" w:rsidR="00AD6476" w:rsidRDefault="00AD6476" w:rsidP="00D55AA4">
      <w:pPr>
        <w:rPr>
          <w:rFonts w:ascii="Cambria" w:hAnsi="Cambria"/>
        </w:rPr>
      </w:pPr>
    </w:p>
    <w:p w14:paraId="16F523AD" w14:textId="3E1A41BE" w:rsidR="00D55AA4" w:rsidRPr="000A4A98" w:rsidRDefault="00D55AA4" w:rsidP="00D55AA4">
      <w:pPr>
        <w:rPr>
          <w:rFonts w:ascii="Cambria" w:hAnsi="Cambria"/>
        </w:rPr>
      </w:pPr>
      <w:r w:rsidRPr="000A4A98">
        <w:rPr>
          <w:rFonts w:ascii="Cambria" w:hAnsi="Cambria"/>
        </w:rPr>
        <w:t xml:space="preserve">The below figure from </w:t>
      </w:r>
      <w:proofErr w:type="spellStart"/>
      <w:r w:rsidRPr="000A4A98">
        <w:rPr>
          <w:rFonts w:ascii="Cambria" w:hAnsi="Cambria"/>
        </w:rPr>
        <w:t>Timmer</w:t>
      </w:r>
      <w:proofErr w:type="spellEnd"/>
      <w:r w:rsidRPr="000A4A98">
        <w:rPr>
          <w:rFonts w:ascii="Cambria" w:hAnsi="Cambria"/>
        </w:rPr>
        <w:t xml:space="preserve"> et al. (1983) shows typical demand patterns for food as income increases. Engel’s Law is designated by “Food expenditure”; Bennett’s Law is designated b</w:t>
      </w:r>
      <w:r w:rsidR="00654004">
        <w:rPr>
          <w:rFonts w:ascii="Cambria" w:hAnsi="Cambria"/>
        </w:rPr>
        <w:t>y “Starchy staples.” A</w:t>
      </w:r>
      <w:r w:rsidRPr="000A4A98">
        <w:rPr>
          <w:rFonts w:ascii="Cambria" w:hAnsi="Cambria"/>
        </w:rPr>
        <w:t xml:space="preserve">s income increases, </w:t>
      </w:r>
      <w:r w:rsidR="00654004">
        <w:rPr>
          <w:rFonts w:ascii="Cambria" w:hAnsi="Cambria"/>
        </w:rPr>
        <w:t xml:space="preserve">the quality of food consumed </w:t>
      </w:r>
      <w:r w:rsidRPr="000A4A98">
        <w:rPr>
          <w:rFonts w:ascii="Cambria" w:hAnsi="Cambria"/>
        </w:rPr>
        <w:t>increases.  This pattern suggests that poor households spend a greater proportion of their income on food consumption relative to wealthier households (Engel’s Law) and that they spend more of their incomes on starchy staples (Bennett’s Law). Therefore, price increases of starchy staples are extremely burdensome to poor households because large portions of their budgets are spent on staples.</w:t>
      </w:r>
    </w:p>
    <w:p w14:paraId="5566505B" w14:textId="77777777" w:rsidR="00D55AA4" w:rsidRPr="000A4A98" w:rsidRDefault="00D55AA4" w:rsidP="00D55AA4">
      <w:pPr>
        <w:rPr>
          <w:rFonts w:ascii="Cambria" w:hAnsi="Cambria"/>
          <w:b/>
        </w:rPr>
      </w:pPr>
    </w:p>
    <w:p w14:paraId="512588DA" w14:textId="77777777" w:rsidR="00D55AA4" w:rsidRPr="00580871" w:rsidRDefault="00D55AA4" w:rsidP="00D55AA4">
      <w:pPr>
        <w:rPr>
          <w:rFonts w:ascii="Cambria" w:hAnsi="Cambria"/>
          <w:i/>
        </w:rPr>
      </w:pPr>
      <w:r w:rsidRPr="00580871">
        <w:rPr>
          <w:rFonts w:ascii="Cambria" w:hAnsi="Cambria"/>
          <w:i/>
        </w:rPr>
        <w:t xml:space="preserve">Measures of Food Consumption Relative to Household Income Level </w:t>
      </w:r>
      <w:r w:rsidRPr="00580871">
        <w:rPr>
          <w:rFonts w:ascii="Cambria" w:hAnsi="Cambria"/>
          <w:i/>
        </w:rPr>
        <w:br/>
        <w:t>(in Log form)</w:t>
      </w:r>
    </w:p>
    <w:p w14:paraId="27FFEC36" w14:textId="77777777" w:rsidR="00D55AA4" w:rsidRPr="000A4A98" w:rsidRDefault="00D55AA4" w:rsidP="00D55AA4">
      <w:pPr>
        <w:rPr>
          <w:rFonts w:ascii="Cambria" w:hAnsi="Cambria"/>
          <w:b/>
        </w:rPr>
      </w:pPr>
      <w:r w:rsidRPr="000A4A98">
        <w:rPr>
          <w:rFonts w:ascii="Cambria" w:hAnsi="Cambria"/>
          <w:b/>
          <w:noProof/>
        </w:rPr>
        <w:drawing>
          <wp:inline distT="0" distB="0" distL="0" distR="0" wp14:anchorId="71B15E4F" wp14:editId="3C7C01C6">
            <wp:extent cx="5486400" cy="3505200"/>
            <wp:effectExtent l="0" t="0" r="0" b="0"/>
            <wp:docPr id="39" name="P 1" descr="Timmer food to income.jpg"/>
            <wp:cNvGraphicFramePr/>
            <a:graphic xmlns:a="http://schemas.openxmlformats.org/drawingml/2006/main">
              <a:graphicData uri="http://schemas.openxmlformats.org/drawingml/2006/picture">
                <pic:pic xmlns:pic="http://schemas.openxmlformats.org/drawingml/2006/picture">
                  <pic:nvPicPr>
                    <pic:cNvPr id="0" name="Content Placeholder 5" descr="Timmer food to income.jpg"/>
                    <pic:cNvPicPr>
                      <a:picLocks noGrp="1" noChangeAspect="1"/>
                    </pic:cNvPicPr>
                  </pic:nvPicPr>
                  <pic:blipFill>
                    <a:blip r:embed="rId17" cstate="print"/>
                    <a:srcRect l="-18169" r="-18169"/>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2015A55E" w14:textId="77777777" w:rsidR="00D55AA4" w:rsidRPr="000A4A98" w:rsidRDefault="00D55AA4" w:rsidP="00D55AA4">
      <w:pPr>
        <w:rPr>
          <w:rFonts w:ascii="Cambria" w:hAnsi="Cambria"/>
        </w:rPr>
      </w:pPr>
      <w:r w:rsidRPr="000A4A98">
        <w:rPr>
          <w:rFonts w:ascii="Cambria" w:hAnsi="Cambria"/>
        </w:rPr>
        <w:lastRenderedPageBreak/>
        <w:t xml:space="preserve">Source: </w:t>
      </w:r>
      <w:proofErr w:type="spellStart"/>
      <w:r w:rsidRPr="000A4A98">
        <w:rPr>
          <w:rFonts w:ascii="Cambria" w:hAnsi="Cambria"/>
        </w:rPr>
        <w:t>Timmer</w:t>
      </w:r>
      <w:proofErr w:type="spellEnd"/>
      <w:r w:rsidRPr="000A4A98">
        <w:rPr>
          <w:rFonts w:ascii="Cambria" w:hAnsi="Cambria"/>
        </w:rPr>
        <w:t xml:space="preserve"> et al. (1983). p. 57. Note: The figure is drawn in logarithms to illustrate elasticities: (log) Food quality = (log)food expenditure - (log)food quantity.</w:t>
      </w:r>
    </w:p>
    <w:p w14:paraId="7975C124" w14:textId="77777777" w:rsidR="00D55AA4" w:rsidRPr="000A4A98" w:rsidRDefault="00D55AA4" w:rsidP="00D55AA4">
      <w:pPr>
        <w:rPr>
          <w:rFonts w:ascii="Cambria" w:hAnsi="Cambria"/>
          <w:b/>
          <w:bCs/>
        </w:rPr>
      </w:pPr>
    </w:p>
    <w:p w14:paraId="357F728C" w14:textId="77777777" w:rsidR="00D55AA4" w:rsidRPr="000A4A98" w:rsidRDefault="00D55AA4" w:rsidP="00D55AA4">
      <w:pPr>
        <w:rPr>
          <w:rFonts w:ascii="Cambria" w:hAnsi="Cambria"/>
          <w:bCs/>
        </w:rPr>
      </w:pPr>
      <w:r w:rsidRPr="000A4A98">
        <w:rPr>
          <w:rFonts w:ascii="Cambria" w:hAnsi="Cambria"/>
          <w:bCs/>
        </w:rPr>
        <w:t xml:space="preserve">How much a price increase of a commodity affects consumers depends on whether the commodity has many substitutes. If alternative products are easily available, households may shift their consumption to the substitute, avoiding the burden of the price increase. </w:t>
      </w:r>
    </w:p>
    <w:p w14:paraId="755A310F" w14:textId="77777777" w:rsidR="00D55AA4" w:rsidRPr="000A4A98" w:rsidRDefault="00D55AA4" w:rsidP="00D55AA4">
      <w:pPr>
        <w:rPr>
          <w:rFonts w:ascii="Cambria" w:hAnsi="Cambria"/>
          <w:b/>
          <w:bCs/>
        </w:rPr>
      </w:pPr>
    </w:p>
    <w:p w14:paraId="2019023D" w14:textId="77777777" w:rsidR="00D55AA4" w:rsidRPr="000A4A98" w:rsidRDefault="00D55AA4" w:rsidP="00D55AA4">
      <w:pPr>
        <w:rPr>
          <w:rFonts w:ascii="Cambria" w:hAnsi="Cambria"/>
          <w:b/>
        </w:rPr>
      </w:pPr>
      <w:r w:rsidRPr="000A4A98">
        <w:rPr>
          <w:rFonts w:ascii="Cambria" w:hAnsi="Cambria"/>
          <w:bCs/>
        </w:rPr>
        <w:t xml:space="preserve">Engel’s law also tells us that when incomes increase, </w:t>
      </w:r>
      <w:r>
        <w:rPr>
          <w:rFonts w:ascii="Cambria" w:hAnsi="Cambria"/>
          <w:bCs/>
        </w:rPr>
        <w:t>demand for food increases. The e</w:t>
      </w:r>
      <w:r w:rsidRPr="000A4A98">
        <w:rPr>
          <w:rFonts w:ascii="Cambria" w:hAnsi="Cambria"/>
          <w:bCs/>
        </w:rPr>
        <w:t>ffect on demand for particular products depends on whether such goods are normal goods or inferior goods. Normal goods are those for which an increase (decrease) in income results in an increase (decrease) in demand. This pattern is because the income and substitution effects are both operating in the same direction, as seen in the figure below. For i</w:t>
      </w:r>
      <w:r w:rsidRPr="000A4A98">
        <w:rPr>
          <w:rFonts w:ascii="Cambria" w:hAnsi="Cambria"/>
        </w:rPr>
        <w:t>nferior goods</w:t>
      </w:r>
      <w:r w:rsidRPr="000A4A98">
        <w:rPr>
          <w:rFonts w:ascii="Cambria" w:hAnsi="Cambria"/>
          <w:bCs/>
        </w:rPr>
        <w:t>, an i</w:t>
      </w:r>
      <w:r w:rsidRPr="000A4A98">
        <w:rPr>
          <w:rFonts w:ascii="Cambria" w:hAnsi="Cambria"/>
        </w:rPr>
        <w:t>ncrease (decrease) in income results in a decrease (increase) in demand. When incomes fall for very poor households, demand for an inferior good can increase because households can no longer afford to buy more expensive foods and thus spend more money on cheaper, lower quality calorie sources. Potatoes are a common inferior good for many households. For inferior goods, the income effect is in the opposite direction from the substitution effect (i.e., the income and substitution effects are countervailing) resulting in a decrease in demand when income increases.</w:t>
      </w:r>
    </w:p>
    <w:p w14:paraId="7A77A650" w14:textId="77777777" w:rsidR="00D55AA4" w:rsidRPr="000A4A98" w:rsidRDefault="00D55AA4" w:rsidP="00D55AA4">
      <w:pPr>
        <w:rPr>
          <w:rFonts w:ascii="Cambria" w:hAnsi="Cambria"/>
          <w:b/>
        </w:rPr>
      </w:pPr>
    </w:p>
    <w:p w14:paraId="5B344831" w14:textId="77777777" w:rsidR="00D55AA4" w:rsidRPr="00580871" w:rsidRDefault="00D55AA4" w:rsidP="00D55AA4">
      <w:pPr>
        <w:rPr>
          <w:rFonts w:ascii="Cambria" w:hAnsi="Cambria"/>
          <w:i/>
        </w:rPr>
      </w:pPr>
      <w:r w:rsidRPr="00580871">
        <w:rPr>
          <w:rFonts w:ascii="Cambria" w:hAnsi="Cambria"/>
          <w:i/>
        </w:rPr>
        <w:t>Income and Substitution Effects due to a Price Increase</w:t>
      </w:r>
    </w:p>
    <w:p w14:paraId="7FC266D3" w14:textId="77777777" w:rsidR="00D55AA4" w:rsidRPr="000A4A98" w:rsidRDefault="00D55AA4" w:rsidP="00D55AA4">
      <w:pPr>
        <w:rPr>
          <w:rFonts w:ascii="Cambria" w:hAnsi="Cambria"/>
          <w:b/>
        </w:rPr>
      </w:pPr>
      <w:r w:rsidRPr="000A4A98">
        <w:rPr>
          <w:rFonts w:ascii="Cambria" w:hAnsi="Cambria"/>
          <w:b/>
          <w:noProof/>
        </w:rPr>
        <w:drawing>
          <wp:inline distT="0" distB="0" distL="0" distR="0" wp14:anchorId="7C5CDEB8" wp14:editId="11D9383A">
            <wp:extent cx="5486400" cy="3505200"/>
            <wp:effectExtent l="0" t="0" r="0" b="0"/>
            <wp:docPr id="43" name="P 2" descr="Timmer income effect.jpg"/>
            <wp:cNvGraphicFramePr/>
            <a:graphic xmlns:a="http://schemas.openxmlformats.org/drawingml/2006/main">
              <a:graphicData uri="http://schemas.openxmlformats.org/drawingml/2006/picture">
                <pic:pic xmlns:pic="http://schemas.openxmlformats.org/drawingml/2006/picture">
                  <pic:nvPicPr>
                    <pic:cNvPr id="0" name="Content Placeholder 7" descr="Timmer income effect.jpg"/>
                    <pic:cNvPicPr>
                      <a:picLocks noGrp="1" noChangeAspect="1"/>
                    </pic:cNvPicPr>
                  </pic:nvPicPr>
                  <pic:blipFill>
                    <a:blip r:embed="rId18" cstate="print"/>
                    <a:srcRect l="-21097" r="-21097"/>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5FEFA37D" w14:textId="77777777" w:rsidR="00D55AA4" w:rsidRPr="000A4A98" w:rsidRDefault="00D55AA4" w:rsidP="00D55AA4">
      <w:pPr>
        <w:rPr>
          <w:rFonts w:ascii="Cambria" w:hAnsi="Cambria"/>
        </w:rPr>
      </w:pPr>
      <w:r w:rsidRPr="000A4A98">
        <w:rPr>
          <w:rFonts w:ascii="Cambria" w:hAnsi="Cambria"/>
        </w:rPr>
        <w:t xml:space="preserve">Source: </w:t>
      </w:r>
      <w:proofErr w:type="spellStart"/>
      <w:r w:rsidRPr="000A4A98">
        <w:rPr>
          <w:rFonts w:ascii="Cambria" w:hAnsi="Cambria"/>
        </w:rPr>
        <w:t>Timmer</w:t>
      </w:r>
      <w:proofErr w:type="spellEnd"/>
      <w:r w:rsidRPr="000A4A98">
        <w:rPr>
          <w:rFonts w:ascii="Cambria" w:hAnsi="Cambria"/>
        </w:rPr>
        <w:t xml:space="preserve"> et al. 1983. P. 44.</w:t>
      </w:r>
    </w:p>
    <w:p w14:paraId="075FCF8D" w14:textId="77777777" w:rsidR="00D55AA4" w:rsidRPr="000A4A98" w:rsidRDefault="00D55AA4" w:rsidP="00D55AA4">
      <w:pPr>
        <w:rPr>
          <w:rFonts w:ascii="Cambria" w:hAnsi="Cambria"/>
          <w:b/>
        </w:rPr>
      </w:pPr>
    </w:p>
    <w:p w14:paraId="45225D69" w14:textId="166D1BA2" w:rsidR="00B628AC" w:rsidRPr="00B12BE8" w:rsidRDefault="00D55AA4" w:rsidP="00DB42B6">
      <w:pPr>
        <w:rPr>
          <w:rFonts w:ascii="Cambria" w:hAnsi="Cambria"/>
        </w:rPr>
      </w:pPr>
      <w:r w:rsidRPr="000A4A98">
        <w:rPr>
          <w:rFonts w:ascii="Cambria" w:hAnsi="Cambria"/>
        </w:rPr>
        <w:lastRenderedPageBreak/>
        <w:t>One implication of consumption of inferior products is that all else equal, price increases for inferior goods with few substitutes harm consumers’ welfare more than equivalent price increases for substitutable or normal goods.</w:t>
      </w:r>
    </w:p>
    <w:p w14:paraId="52665DC9" w14:textId="77777777" w:rsidR="00B628AC" w:rsidRDefault="00B628AC" w:rsidP="00DB42B6">
      <w:pPr>
        <w:rPr>
          <w:rFonts w:ascii="Cambria" w:hAnsi="Cambria"/>
          <w:b/>
        </w:rPr>
      </w:pPr>
    </w:p>
    <w:p w14:paraId="1BF8DD0D" w14:textId="67898DB4" w:rsidR="0032734C" w:rsidRDefault="00A11818" w:rsidP="00DB42B6">
      <w:pPr>
        <w:rPr>
          <w:rFonts w:ascii="Cambria" w:hAnsi="Cambria"/>
          <w:b/>
        </w:rPr>
      </w:pPr>
      <w:r>
        <w:rPr>
          <w:rFonts w:ascii="Cambria" w:hAnsi="Cambria"/>
          <w:b/>
        </w:rPr>
        <w:t>Income and price e</w:t>
      </w:r>
      <w:r w:rsidR="00EF3D53" w:rsidRPr="000A4A98">
        <w:rPr>
          <w:rFonts w:ascii="Cambria" w:hAnsi="Cambria"/>
          <w:b/>
        </w:rPr>
        <w:t>lasticities</w:t>
      </w:r>
      <w:r>
        <w:rPr>
          <w:rFonts w:ascii="Cambria" w:hAnsi="Cambria"/>
          <w:b/>
        </w:rPr>
        <w:t xml:space="preserve"> of demand</w:t>
      </w:r>
    </w:p>
    <w:p w14:paraId="79542D36" w14:textId="262A2351" w:rsidR="00DB42B6" w:rsidRDefault="0032734C" w:rsidP="00DB42B6">
      <w:pPr>
        <w:rPr>
          <w:rFonts w:ascii="Cambria" w:hAnsi="Cambria"/>
        </w:rPr>
      </w:pPr>
      <w:r w:rsidRPr="0032734C">
        <w:rPr>
          <w:rFonts w:ascii="Cambria" w:hAnsi="Cambria"/>
        </w:rPr>
        <w:t>When households strongly prefer one type of food to another, they will be less willing to substitute a cheaper food when prices of the preferred food rise</w:t>
      </w:r>
      <w:r>
        <w:rPr>
          <w:rFonts w:ascii="Cambria" w:hAnsi="Cambria"/>
        </w:rPr>
        <w:t xml:space="preserve"> or when their incomes fall</w:t>
      </w:r>
      <w:r w:rsidRPr="0032734C">
        <w:rPr>
          <w:rFonts w:ascii="Cambria" w:hAnsi="Cambria"/>
        </w:rPr>
        <w:t>.</w:t>
      </w:r>
    </w:p>
    <w:p w14:paraId="17EE4F96" w14:textId="77777777" w:rsidR="000C6BF3" w:rsidRDefault="000C6BF3" w:rsidP="00DB42B6">
      <w:pPr>
        <w:rPr>
          <w:rFonts w:ascii="Cambria" w:hAnsi="Cambria"/>
        </w:rPr>
      </w:pPr>
    </w:p>
    <w:p w14:paraId="45764025" w14:textId="58748893" w:rsidR="0032734C" w:rsidRDefault="004830C1" w:rsidP="00EF3D53">
      <w:pPr>
        <w:rPr>
          <w:rFonts w:ascii="Cambria" w:hAnsi="Cambria"/>
        </w:rPr>
      </w:pPr>
      <w:r>
        <w:rPr>
          <w:rFonts w:ascii="Cambria" w:hAnsi="Cambria"/>
        </w:rPr>
        <w:t xml:space="preserve">A measure of the </w:t>
      </w:r>
      <w:r w:rsidR="000C6BF3">
        <w:rPr>
          <w:rFonts w:ascii="Cambria" w:hAnsi="Cambria"/>
        </w:rPr>
        <w:t xml:space="preserve">relationship between changes in income and changes in the quantity demanded is the income elasticity of demand. </w:t>
      </w:r>
      <w:r w:rsidR="00EF3D53" w:rsidRPr="000A4A98">
        <w:rPr>
          <w:rFonts w:ascii="Cambria" w:hAnsi="Cambria"/>
        </w:rPr>
        <w:t xml:space="preserve"> Transfers increase a household’s income (food is an in-kind form of income). The income elasticity measures the effect of a one percent increase in income on the percent of quantity demanded. </w:t>
      </w:r>
      <w:r w:rsidR="0032734C" w:rsidRPr="000A4A98">
        <w:rPr>
          <w:rFonts w:ascii="Cambria" w:hAnsi="Cambria"/>
        </w:rPr>
        <w:t>An equivalent income increase will generate smaller chan</w:t>
      </w:r>
      <w:r w:rsidR="0032734C">
        <w:rPr>
          <w:rFonts w:ascii="Cambria" w:hAnsi="Cambria"/>
        </w:rPr>
        <w:t>ges in demand for someone with</w:t>
      </w:r>
      <w:r w:rsidR="0032734C" w:rsidRPr="000A4A98">
        <w:rPr>
          <w:rFonts w:ascii="Cambria" w:hAnsi="Cambria"/>
        </w:rPr>
        <w:t xml:space="preserve"> </w:t>
      </w:r>
      <w:r w:rsidR="0032734C">
        <w:rPr>
          <w:rFonts w:ascii="Cambria" w:hAnsi="Cambria"/>
        </w:rPr>
        <w:t>“</w:t>
      </w:r>
      <w:r w:rsidR="0032734C" w:rsidRPr="000A4A98">
        <w:rPr>
          <w:rFonts w:ascii="Cambria" w:hAnsi="Cambria"/>
        </w:rPr>
        <w:t>less elastic</w:t>
      </w:r>
      <w:r w:rsidR="0032734C">
        <w:rPr>
          <w:rFonts w:ascii="Cambria" w:hAnsi="Cambria"/>
        </w:rPr>
        <w:t>”</w:t>
      </w:r>
      <w:r w:rsidR="0032734C" w:rsidRPr="000A4A98">
        <w:rPr>
          <w:rFonts w:ascii="Cambria" w:hAnsi="Cambria"/>
        </w:rPr>
        <w:t xml:space="preserve"> demand relativ</w:t>
      </w:r>
      <w:r w:rsidR="0032734C">
        <w:rPr>
          <w:rFonts w:ascii="Cambria" w:hAnsi="Cambria"/>
        </w:rPr>
        <w:t>e to someone with</w:t>
      </w:r>
      <w:r w:rsidR="0032734C" w:rsidRPr="000A4A98">
        <w:rPr>
          <w:rFonts w:ascii="Cambria" w:hAnsi="Cambria"/>
        </w:rPr>
        <w:t xml:space="preserve"> more elastic demand.</w:t>
      </w:r>
    </w:p>
    <w:p w14:paraId="550FF8EC" w14:textId="77777777" w:rsidR="00B36AB1" w:rsidRPr="000A4A98" w:rsidRDefault="00B36AB1" w:rsidP="00B36AB1">
      <w:pPr>
        <w:rPr>
          <w:rFonts w:ascii="Cambria" w:hAnsi="Cambria"/>
        </w:rPr>
      </w:pPr>
      <w:r w:rsidRPr="000A4A98">
        <w:rPr>
          <w:rFonts w:ascii="Cambria" w:hAnsi="Cambria"/>
          <w:noProof/>
        </w:rPr>
        <w:drawing>
          <wp:inline distT="0" distB="0" distL="0" distR="0" wp14:anchorId="42C565CB" wp14:editId="29DEFDEE">
            <wp:extent cx="5486400" cy="3505200"/>
            <wp:effectExtent l="0" t="0" r="0" b="0"/>
            <wp:docPr id="18" name="P 13" descr="FEWs Elasticity of demand.tiff"/>
            <wp:cNvGraphicFramePr/>
            <a:graphic xmlns:a="http://schemas.openxmlformats.org/drawingml/2006/main">
              <a:graphicData uri="http://schemas.openxmlformats.org/drawingml/2006/picture">
                <pic:pic xmlns:pic="http://schemas.openxmlformats.org/drawingml/2006/picture">
                  <pic:nvPicPr>
                    <pic:cNvPr id="0" name="Content Placeholder 4" descr="FEWs Elasticity of demand.tiff"/>
                    <pic:cNvPicPr>
                      <a:picLocks noGrp="1" noChangeAspect="1"/>
                    </pic:cNvPicPr>
                  </pic:nvPicPr>
                  <pic:blipFill>
                    <a:blip r:embed="rId19" cstate="print"/>
                    <a:srcRect l="-12282" r="-12282"/>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60CD65C0" w14:textId="77777777" w:rsidR="00B36AB1" w:rsidRPr="000A4A98" w:rsidRDefault="00B36AB1" w:rsidP="00B36AB1">
      <w:pPr>
        <w:rPr>
          <w:rFonts w:ascii="Cambria" w:hAnsi="Cambria"/>
        </w:rPr>
      </w:pPr>
      <w:r w:rsidRPr="000A4A98">
        <w:rPr>
          <w:rFonts w:ascii="Cambria" w:hAnsi="Cambria"/>
        </w:rPr>
        <w:t>Source: FEWS NET (2008) Market Analysis and Assessment. Lesson 1, p. 24.</w:t>
      </w:r>
    </w:p>
    <w:p w14:paraId="78A10A2A" w14:textId="77777777" w:rsidR="00B36AB1" w:rsidRDefault="00B36AB1" w:rsidP="00EF3D53">
      <w:pPr>
        <w:rPr>
          <w:rFonts w:ascii="Cambria" w:hAnsi="Cambria"/>
        </w:rPr>
      </w:pPr>
    </w:p>
    <w:p w14:paraId="44A59844" w14:textId="77777777" w:rsidR="0032734C" w:rsidRDefault="0032734C" w:rsidP="00EF3D53">
      <w:pPr>
        <w:rPr>
          <w:rFonts w:ascii="Cambria" w:hAnsi="Cambria"/>
        </w:rPr>
      </w:pPr>
    </w:p>
    <w:p w14:paraId="1A718060" w14:textId="32211A06" w:rsidR="00EF3D53" w:rsidRPr="000A4A98" w:rsidRDefault="000C6BF3" w:rsidP="00EF3D53">
      <w:pPr>
        <w:rPr>
          <w:rFonts w:ascii="Cambria" w:hAnsi="Cambria"/>
        </w:rPr>
      </w:pPr>
      <w:r>
        <w:rPr>
          <w:rFonts w:ascii="Cambria" w:hAnsi="Cambria"/>
        </w:rPr>
        <w:t xml:space="preserve">The relationship between changes in prices and changes in the quantity demanded is the price elasticity of demand. </w:t>
      </w:r>
      <w:r w:rsidR="00EF3D53" w:rsidRPr="000A4A98">
        <w:rPr>
          <w:rFonts w:ascii="Cambria" w:hAnsi="Cambria"/>
        </w:rPr>
        <w:t xml:space="preserve">The price elasticity of demand measures how much quantity changes when the price changes by one percent. The expected increase in demand for a particular commodity can be used to estimate the possible increase in volume demanded due to a transfer.   The more vertical a demand curve is (labeled “inelastic”) below, the less responsive demand is to increases in </w:t>
      </w:r>
      <w:r w:rsidR="0093449A" w:rsidRPr="000A4A98">
        <w:rPr>
          <w:rFonts w:ascii="Cambria" w:hAnsi="Cambria"/>
        </w:rPr>
        <w:t>price</w:t>
      </w:r>
      <w:r w:rsidR="00EF3D53" w:rsidRPr="000A4A98">
        <w:rPr>
          <w:rFonts w:ascii="Cambria" w:hAnsi="Cambria"/>
        </w:rPr>
        <w:t xml:space="preserve">. </w:t>
      </w:r>
    </w:p>
    <w:p w14:paraId="0F56B2C0" w14:textId="77777777" w:rsidR="00EF3D53" w:rsidRPr="000A4A98" w:rsidRDefault="00EF3D53" w:rsidP="00EF3D53">
      <w:pPr>
        <w:rPr>
          <w:rFonts w:ascii="Cambria" w:hAnsi="Cambria"/>
          <w:b/>
        </w:rPr>
      </w:pPr>
    </w:p>
    <w:p w14:paraId="0C143B5B" w14:textId="075835BA" w:rsidR="00EF3D53" w:rsidRDefault="00EF3D53" w:rsidP="00EF3D53">
      <w:pPr>
        <w:rPr>
          <w:rFonts w:ascii="Cambria" w:hAnsi="Cambria"/>
          <w:i/>
          <w:u w:val="single"/>
        </w:rPr>
      </w:pPr>
      <w:r w:rsidRPr="002D656F">
        <w:rPr>
          <w:rFonts w:ascii="Cambria" w:hAnsi="Cambria"/>
          <w:i/>
          <w:u w:val="single"/>
        </w:rPr>
        <w:lastRenderedPageBreak/>
        <w:t>How does the analytic assist in answering th</w:t>
      </w:r>
      <w:r w:rsidR="002D656F">
        <w:rPr>
          <w:rFonts w:ascii="Cambria" w:hAnsi="Cambria"/>
          <w:i/>
          <w:u w:val="single"/>
        </w:rPr>
        <w:t>e relevant MIFIRA sub-question?</w:t>
      </w:r>
    </w:p>
    <w:p w14:paraId="756D2510" w14:textId="77777777" w:rsidR="002D656F" w:rsidRDefault="002D656F" w:rsidP="002D656F">
      <w:pPr>
        <w:pStyle w:val="ListParagraph"/>
        <w:ind w:left="0"/>
        <w:rPr>
          <w:rFonts w:ascii="Cambria" w:hAnsi="Cambria"/>
          <w:i/>
        </w:rPr>
      </w:pPr>
    </w:p>
    <w:p w14:paraId="465D60D2" w14:textId="4648E45A" w:rsidR="002D656F" w:rsidRPr="002D656F" w:rsidRDefault="002D656F" w:rsidP="002D656F">
      <w:pPr>
        <w:pStyle w:val="ListParagraph"/>
        <w:ind w:left="0"/>
        <w:rPr>
          <w:rFonts w:ascii="Cambria" w:hAnsi="Cambria"/>
          <w:i/>
        </w:rPr>
      </w:pPr>
      <w:r w:rsidRPr="002D656F">
        <w:rPr>
          <w:rFonts w:ascii="Cambria" w:hAnsi="Cambria"/>
          <w:i/>
        </w:rPr>
        <w:t>1b: How will local demand respond to transfers?</w:t>
      </w:r>
    </w:p>
    <w:p w14:paraId="7F35D018" w14:textId="5D9207FA" w:rsidR="00EF3D53" w:rsidRPr="000A4A98" w:rsidRDefault="00EF3D53" w:rsidP="00EF3D53">
      <w:pPr>
        <w:pStyle w:val="ListParagraph"/>
        <w:ind w:left="0"/>
        <w:rPr>
          <w:rFonts w:ascii="Cambria" w:hAnsi="Cambria"/>
        </w:rPr>
      </w:pPr>
      <w:r w:rsidRPr="000A4A98">
        <w:rPr>
          <w:rFonts w:ascii="Cambria" w:hAnsi="Cambria"/>
        </w:rPr>
        <w:t>Using elasticities, we can estimate how much demand could change based on the form of transfer</w:t>
      </w:r>
      <w:r w:rsidR="002D656F">
        <w:rPr>
          <w:rFonts w:ascii="Cambria" w:hAnsi="Cambria"/>
        </w:rPr>
        <w:t>.</w:t>
      </w:r>
      <w:r w:rsidRPr="000A4A98">
        <w:rPr>
          <w:rFonts w:ascii="Cambria" w:hAnsi="Cambria"/>
        </w:rPr>
        <w:t xml:space="preserve"> </w:t>
      </w:r>
    </w:p>
    <w:p w14:paraId="4E7D3835" w14:textId="77777777" w:rsidR="00EF3D53" w:rsidRDefault="00EF3D53" w:rsidP="00EF3D53">
      <w:pPr>
        <w:rPr>
          <w:rFonts w:ascii="Cambria" w:hAnsi="Cambria"/>
          <w:b/>
        </w:rPr>
      </w:pPr>
    </w:p>
    <w:p w14:paraId="79BBD650" w14:textId="19CEC03E" w:rsidR="00C70BE9" w:rsidRPr="009657A9" w:rsidRDefault="009657A9" w:rsidP="00C70BE9">
      <w:pPr>
        <w:rPr>
          <w:rFonts w:ascii="Cambria" w:hAnsi="Cambria"/>
          <w:i/>
          <w:u w:val="single"/>
        </w:rPr>
      </w:pPr>
      <w:r w:rsidRPr="009657A9">
        <w:rPr>
          <w:rFonts w:ascii="Cambria" w:hAnsi="Cambria"/>
          <w:i/>
          <w:u w:val="single"/>
        </w:rPr>
        <w:t>Computing elasticities</w:t>
      </w:r>
    </w:p>
    <w:p w14:paraId="3619B8DE"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Helvetica"/>
        </w:rPr>
        <w:t>General elasticity formula:</w:t>
      </w:r>
    </w:p>
    <w:p w14:paraId="13D5F597"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Times"/>
          <w:i/>
          <w:iCs/>
        </w:rPr>
        <w:t>e</w:t>
      </w:r>
      <w:r w:rsidRPr="000A4A98">
        <w:rPr>
          <w:rFonts w:ascii="Cambria" w:hAnsi="Cambria" w:cs="Times"/>
          <w:i/>
          <w:iCs/>
          <w:sz w:val="14"/>
          <w:szCs w:val="14"/>
        </w:rPr>
        <w:t xml:space="preserve"> </w:t>
      </w:r>
      <w:proofErr w:type="spellStart"/>
      <w:r w:rsidRPr="000A4A98">
        <w:rPr>
          <w:rFonts w:ascii="Cambria" w:hAnsi="Cambria" w:cs="Times"/>
          <w:i/>
          <w:iCs/>
          <w:sz w:val="14"/>
          <w:szCs w:val="14"/>
        </w:rPr>
        <w:t>ij</w:t>
      </w:r>
      <w:proofErr w:type="spellEnd"/>
      <w:r w:rsidRPr="000A4A98">
        <w:rPr>
          <w:rFonts w:ascii="Cambria" w:hAnsi="Cambria" w:cs="Helvetica"/>
        </w:rPr>
        <w:t xml:space="preserve"> = </w:t>
      </w:r>
      <w:r w:rsidRPr="000A4A98">
        <w:rPr>
          <w:rFonts w:ascii="Cambria" w:hAnsi="Cambria" w:cs="Trebuchet MS"/>
          <w:sz w:val="22"/>
          <w:szCs w:val="22"/>
        </w:rPr>
        <w:t xml:space="preserve">(Percentage change in variable i) / (Percentage change in variable j) </w:t>
      </w:r>
    </w:p>
    <w:p w14:paraId="0CC36755"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3F5FF19C"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Helvetica"/>
        </w:rPr>
        <w:t>Income elasticity formula:</w:t>
      </w:r>
    </w:p>
    <w:p w14:paraId="5EC4BD52" w14:textId="77777777" w:rsidR="00C70BE9" w:rsidRPr="000A4A98" w:rsidRDefault="00C70BE9" w:rsidP="00C70BE9">
      <w:pPr>
        <w:rPr>
          <w:rFonts w:ascii="Cambria" w:hAnsi="Cambria" w:cs="Trebuchet MS"/>
          <w:sz w:val="22"/>
          <w:szCs w:val="22"/>
        </w:rPr>
      </w:pPr>
      <w:r w:rsidRPr="000A4A98">
        <w:rPr>
          <w:rFonts w:ascii="Cambria" w:hAnsi="Cambria" w:cs="Times"/>
          <w:i/>
          <w:iCs/>
        </w:rPr>
        <w:t xml:space="preserve">e </w:t>
      </w:r>
      <w:r w:rsidRPr="000A4A98">
        <w:rPr>
          <w:rFonts w:ascii="Cambria" w:hAnsi="Cambria" w:cs="Times"/>
          <w:i/>
          <w:iCs/>
          <w:sz w:val="14"/>
          <w:szCs w:val="14"/>
        </w:rPr>
        <w:t xml:space="preserve">income  </w:t>
      </w:r>
      <w:r w:rsidRPr="000A4A98">
        <w:rPr>
          <w:rFonts w:ascii="Cambria" w:hAnsi="Cambria" w:cs="Trebuchet MS"/>
          <w:sz w:val="22"/>
          <w:szCs w:val="22"/>
        </w:rPr>
        <w:t xml:space="preserve">= Quantity % change / Income % change </w:t>
      </w:r>
      <w:r w:rsidRPr="000A4A98">
        <w:rPr>
          <w:rFonts w:ascii="Cambria" w:hAnsi="Cambria" w:cs="Helvetica"/>
        </w:rPr>
        <w:t xml:space="preserve">= </w:t>
      </w:r>
      <m:oMath>
        <m:f>
          <m:fPr>
            <m:ctrlPr>
              <w:rPr>
                <w:rFonts w:ascii="Cambria Math" w:hAnsi="Cambria Math" w:cs="Helvetica"/>
                <w:i/>
              </w:rPr>
            </m:ctrlPr>
          </m:fPr>
          <m:num>
            <m:f>
              <m:fPr>
                <m:ctrlPr>
                  <w:rPr>
                    <w:rFonts w:ascii="Cambria Math" w:hAnsi="Cambria Math" w:cs="Helvetica"/>
                    <w:i/>
                  </w:rPr>
                </m:ctrlPr>
              </m:fPr>
              <m:num>
                <m:r>
                  <w:rPr>
                    <w:rFonts w:ascii="Cambria Math" w:hAnsi="Cambria Math" w:cs="Helvetica"/>
                  </w:rPr>
                  <m:t>∆x</m:t>
                </m:r>
              </m:num>
              <m:den>
                <m:r>
                  <w:rPr>
                    <w:rFonts w:ascii="Cambria Math" w:hAnsi="Cambria Math" w:cs="Helvetica"/>
                  </w:rPr>
                  <m:t>x</m:t>
                </m:r>
              </m:den>
            </m:f>
          </m:num>
          <m:den>
            <m:f>
              <m:fPr>
                <m:ctrlPr>
                  <w:rPr>
                    <w:rFonts w:ascii="Cambria Math" w:hAnsi="Cambria Math" w:cs="Helvetica"/>
                    <w:i/>
                  </w:rPr>
                </m:ctrlPr>
              </m:fPr>
              <m:num>
                <m:r>
                  <w:rPr>
                    <w:rFonts w:ascii="Cambria Math" w:hAnsi="Cambria Math" w:cs="Helvetica"/>
                  </w:rPr>
                  <m:t>∆p</m:t>
                </m:r>
              </m:num>
              <m:den>
                <m:r>
                  <w:rPr>
                    <w:rFonts w:ascii="Cambria Math" w:hAnsi="Cambria Math" w:cs="Helvetica"/>
                  </w:rPr>
                  <m:t>p</m:t>
                </m:r>
              </m:den>
            </m:f>
          </m:den>
        </m:f>
        <m:r>
          <w:rPr>
            <w:rFonts w:ascii="Cambria Math" w:hAnsi="Cambria Math" w:cs="Helvetica"/>
          </w:rPr>
          <m:t xml:space="preserve">  = ∂lnx/∂lnp</m:t>
        </m:r>
      </m:oMath>
    </w:p>
    <w:p w14:paraId="3C9FCFDA" w14:textId="5C221E91" w:rsidR="00C70BE9" w:rsidRPr="00547024" w:rsidRDefault="00547024" w:rsidP="00547024">
      <w:pPr>
        <w:rPr>
          <w:rFonts w:ascii="Cambria" w:hAnsi="Cambria"/>
        </w:rPr>
      </w:pPr>
      <w:r w:rsidRPr="000A4A98">
        <w:rPr>
          <w:rFonts w:ascii="Cambria" w:hAnsi="Cambria"/>
        </w:rPr>
        <w:t>The income elasticity of demand reflects the expected percentage change in demand for a product (in this case, food or a particular food commodity) for a one percent change in household income (e.g., due</w:t>
      </w:r>
      <w:r>
        <w:rPr>
          <w:rFonts w:ascii="Cambria" w:hAnsi="Cambria"/>
        </w:rPr>
        <w:t xml:space="preserve"> to an inflow of cash or food).</w:t>
      </w:r>
      <w:r>
        <w:rPr>
          <w:rFonts w:ascii="Cambria" w:hAnsi="Cambria" w:cs="Helvetica"/>
        </w:rPr>
        <w:t xml:space="preserve"> E</w:t>
      </w:r>
      <w:r w:rsidR="00C70BE9" w:rsidRPr="000A4A98">
        <w:rPr>
          <w:rFonts w:ascii="Cambria" w:hAnsi="Cambria" w:cs="Helvetica"/>
        </w:rPr>
        <w:t>lasticities are often plotted in log-log form so that the slope of the graph directly reflects the elasticity.</w:t>
      </w:r>
    </w:p>
    <w:p w14:paraId="59F5A899" w14:textId="77777777" w:rsidR="00C70BE9" w:rsidRPr="000A4A98" w:rsidRDefault="00C70BE9" w:rsidP="00C70BE9">
      <w:pPr>
        <w:rPr>
          <w:rFonts w:ascii="Cambria" w:hAnsi="Cambria" w:cs="Trebuchet MS"/>
          <w:szCs w:val="22"/>
        </w:rPr>
      </w:pPr>
    </w:p>
    <w:p w14:paraId="4051DD95" w14:textId="2FF95A49" w:rsidR="00C70BE9" w:rsidRPr="000A4A98" w:rsidRDefault="00C70BE9" w:rsidP="00C70BE9">
      <w:pPr>
        <w:rPr>
          <w:rFonts w:ascii="Cambria" w:hAnsi="Cambria" w:cs="Trebuchet MS"/>
          <w:szCs w:val="22"/>
        </w:rPr>
      </w:pPr>
      <w:r w:rsidRPr="000A4A98">
        <w:rPr>
          <w:rFonts w:ascii="Cambria" w:hAnsi="Cambria" w:cs="Trebuchet MS"/>
          <w:szCs w:val="22"/>
        </w:rPr>
        <w:t>Income elasticities lie between 0 and 1. Larger income elasticities indicate that a one percent increase in income results in larger in</w:t>
      </w:r>
      <w:r w:rsidR="00B36AB1">
        <w:rPr>
          <w:rFonts w:ascii="Cambria" w:hAnsi="Cambria" w:cs="Trebuchet MS"/>
          <w:szCs w:val="22"/>
        </w:rPr>
        <w:t xml:space="preserve">crease in demand. The closer </w:t>
      </w:r>
      <w:r w:rsidR="00325BB0">
        <w:rPr>
          <w:rFonts w:ascii="Cambria" w:hAnsi="Cambria" w:cs="Trebuchet MS"/>
          <w:szCs w:val="22"/>
        </w:rPr>
        <w:t>the</w:t>
      </w:r>
      <w:r w:rsidR="00B36AB1">
        <w:rPr>
          <w:rFonts w:ascii="Cambria" w:hAnsi="Cambria" w:cs="Trebuchet MS"/>
          <w:szCs w:val="22"/>
        </w:rPr>
        <w:t xml:space="preserve"> </w:t>
      </w:r>
      <w:r w:rsidRPr="000A4A98">
        <w:rPr>
          <w:rFonts w:ascii="Cambria" w:hAnsi="Cambria" w:cs="Trebuchet MS"/>
          <w:szCs w:val="22"/>
        </w:rPr>
        <w:t xml:space="preserve">income elasticity is to 1, the more elastic (or sensitive to income changes) it is. Therefore, </w:t>
      </w:r>
      <w:proofErr w:type="gramStart"/>
      <w:r w:rsidRPr="000A4A98">
        <w:rPr>
          <w:rFonts w:ascii="Cambria" w:hAnsi="Cambria" w:cs="Trebuchet MS"/>
          <w:szCs w:val="22"/>
        </w:rPr>
        <w:t>an income</w:t>
      </w:r>
      <w:proofErr w:type="gramEnd"/>
      <w:r w:rsidRPr="000A4A98">
        <w:rPr>
          <w:rFonts w:ascii="Cambria" w:hAnsi="Cambria" w:cs="Trebuchet MS"/>
          <w:szCs w:val="22"/>
        </w:rPr>
        <w:t xml:space="preserve"> elasticity for food of </w:t>
      </w:r>
      <w:r w:rsidR="00763C67">
        <w:rPr>
          <w:rFonts w:ascii="Cambria" w:hAnsi="Cambria" w:cs="Trebuchet MS"/>
          <w:szCs w:val="22"/>
        </w:rPr>
        <w:t>0</w:t>
      </w:r>
      <w:r w:rsidRPr="000A4A98">
        <w:rPr>
          <w:rFonts w:ascii="Cambria" w:hAnsi="Cambria" w:cs="Trebuchet MS"/>
          <w:szCs w:val="22"/>
        </w:rPr>
        <w:t xml:space="preserve">.4 indicates that a one percent increase in income increases demand by </w:t>
      </w:r>
      <w:r w:rsidR="00763C67">
        <w:rPr>
          <w:rFonts w:ascii="Cambria" w:hAnsi="Cambria" w:cs="Trebuchet MS"/>
          <w:szCs w:val="22"/>
        </w:rPr>
        <w:t>0</w:t>
      </w:r>
      <w:r w:rsidRPr="000A4A98">
        <w:rPr>
          <w:rFonts w:ascii="Cambria" w:hAnsi="Cambria" w:cs="Trebuchet MS"/>
          <w:szCs w:val="22"/>
        </w:rPr>
        <w:t xml:space="preserve">.4 percent, while an income elasticity of </w:t>
      </w:r>
      <w:r w:rsidR="00763C67">
        <w:rPr>
          <w:rFonts w:ascii="Cambria" w:hAnsi="Cambria" w:cs="Trebuchet MS"/>
          <w:szCs w:val="22"/>
        </w:rPr>
        <w:t>0</w:t>
      </w:r>
      <w:r w:rsidRPr="000A4A98">
        <w:rPr>
          <w:rFonts w:ascii="Cambria" w:hAnsi="Cambria" w:cs="Trebuchet MS"/>
          <w:szCs w:val="22"/>
        </w:rPr>
        <w:t xml:space="preserve">.8 indicates that the same income increase would increase food demand by </w:t>
      </w:r>
      <w:r w:rsidR="00763C67">
        <w:rPr>
          <w:rFonts w:ascii="Cambria" w:hAnsi="Cambria" w:cs="Trebuchet MS"/>
          <w:szCs w:val="22"/>
        </w:rPr>
        <w:t>0</w:t>
      </w:r>
      <w:r w:rsidRPr="000A4A98">
        <w:rPr>
          <w:rFonts w:ascii="Cambria" w:hAnsi="Cambria" w:cs="Trebuchet MS"/>
          <w:szCs w:val="22"/>
        </w:rPr>
        <w:t>.8 percent.</w:t>
      </w:r>
    </w:p>
    <w:p w14:paraId="1FAE7B77"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3C35203"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Helvetica"/>
        </w:rPr>
        <w:t>Own-price elasticity formula:</w:t>
      </w:r>
    </w:p>
    <w:p w14:paraId="772DDF08" w14:textId="77777777" w:rsidR="00C70BE9" w:rsidRPr="000A4A98" w:rsidRDefault="00C70BE9" w:rsidP="00C7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Times"/>
          <w:i/>
          <w:iCs/>
        </w:rPr>
        <w:t xml:space="preserve">e </w:t>
      </w:r>
      <w:r w:rsidRPr="000A4A98">
        <w:rPr>
          <w:rFonts w:ascii="Cambria" w:hAnsi="Cambria" w:cs="Times"/>
          <w:i/>
          <w:iCs/>
          <w:sz w:val="14"/>
          <w:szCs w:val="14"/>
        </w:rPr>
        <w:t>own price</w:t>
      </w:r>
      <w:r w:rsidRPr="000A4A98">
        <w:rPr>
          <w:rFonts w:ascii="Cambria" w:hAnsi="Cambria" w:cs="Times"/>
          <w:i/>
          <w:iCs/>
        </w:rPr>
        <w:t xml:space="preserve"> =</w:t>
      </w:r>
      <w:r w:rsidRPr="000A4A98">
        <w:rPr>
          <w:rFonts w:ascii="Cambria" w:hAnsi="Cambria" w:cs="Helvetica"/>
        </w:rPr>
        <w:t xml:space="preserve"> </w:t>
      </w:r>
      <w:r w:rsidRPr="000A4A98">
        <w:rPr>
          <w:rFonts w:ascii="Cambria" w:hAnsi="Cambria" w:cs="Trebuchet MS"/>
          <w:sz w:val="22"/>
          <w:szCs w:val="22"/>
        </w:rPr>
        <w:t xml:space="preserve">Quantity % change / Price % change </w:t>
      </w:r>
    </w:p>
    <w:p w14:paraId="35D21A9C" w14:textId="77777777" w:rsidR="00C70BE9" w:rsidRPr="000A4A98" w:rsidRDefault="00C70BE9" w:rsidP="00C70BE9">
      <w:pPr>
        <w:rPr>
          <w:rFonts w:ascii="Cambria" w:hAnsi="Cambria"/>
        </w:rPr>
      </w:pPr>
    </w:p>
    <w:p w14:paraId="5853B14E" w14:textId="77777777" w:rsidR="00C70BE9" w:rsidRPr="000A4A98" w:rsidRDefault="00C70BE9" w:rsidP="00C70BE9">
      <w:pPr>
        <w:rPr>
          <w:rFonts w:ascii="Cambria" w:hAnsi="Cambria"/>
        </w:rPr>
      </w:pPr>
      <w:r w:rsidRPr="000A4A98">
        <w:rPr>
          <w:rFonts w:ascii="Cambria" w:hAnsi="Cambria"/>
        </w:rPr>
        <w:t>Cross-price elasticity formula:</w:t>
      </w:r>
    </w:p>
    <w:p w14:paraId="1DC5E6FD" w14:textId="77777777" w:rsidR="00C70BE9" w:rsidRPr="000A4A98" w:rsidRDefault="00C70BE9" w:rsidP="00C70BE9">
      <w:pPr>
        <w:rPr>
          <w:rFonts w:ascii="Cambria" w:hAnsi="Cambria"/>
        </w:rPr>
      </w:pPr>
      <w:r w:rsidRPr="000A4A98">
        <w:rPr>
          <w:rFonts w:ascii="Cambria" w:hAnsi="Cambria" w:cs="Times"/>
          <w:i/>
          <w:iCs/>
        </w:rPr>
        <w:t xml:space="preserve">e </w:t>
      </w:r>
      <w:r w:rsidRPr="000A4A98">
        <w:rPr>
          <w:rFonts w:ascii="Cambria" w:hAnsi="Cambria" w:cs="Times"/>
          <w:i/>
          <w:iCs/>
          <w:sz w:val="14"/>
          <w:szCs w:val="14"/>
        </w:rPr>
        <w:t>cross price</w:t>
      </w:r>
      <w:r w:rsidRPr="000A4A98">
        <w:rPr>
          <w:rFonts w:ascii="Cambria" w:hAnsi="Cambria" w:cs="Times"/>
          <w:i/>
          <w:iCs/>
        </w:rPr>
        <w:t xml:space="preserve"> =</w:t>
      </w:r>
      <w:r w:rsidRPr="000A4A98">
        <w:rPr>
          <w:rFonts w:ascii="Cambria" w:hAnsi="Cambria" w:cs="Helvetica"/>
        </w:rPr>
        <w:t xml:space="preserve"> </w:t>
      </w:r>
      <w:r w:rsidRPr="000A4A98">
        <w:rPr>
          <w:rFonts w:ascii="Cambria" w:hAnsi="Cambria" w:cs="Trebuchet MS"/>
          <w:sz w:val="22"/>
          <w:szCs w:val="22"/>
        </w:rPr>
        <w:t>Quantity % change for good 1 / Price % change for good 2</w:t>
      </w:r>
    </w:p>
    <w:p w14:paraId="4C3B2FBB" w14:textId="77777777" w:rsidR="00C70BE9" w:rsidRPr="000A4A98" w:rsidRDefault="00C70BE9" w:rsidP="00C70BE9">
      <w:pPr>
        <w:rPr>
          <w:rFonts w:ascii="Cambria" w:hAnsi="Cambria"/>
        </w:rPr>
      </w:pPr>
    </w:p>
    <w:p w14:paraId="15A2FF24" w14:textId="77777777" w:rsidR="00C70BE9" w:rsidRPr="000A4A98" w:rsidRDefault="00C70BE9" w:rsidP="00C70BE9">
      <w:pPr>
        <w:rPr>
          <w:rFonts w:ascii="Cambria" w:hAnsi="Cambria"/>
        </w:rPr>
      </w:pPr>
      <w:r w:rsidRPr="000A4A98">
        <w:rPr>
          <w:rFonts w:ascii="Cambria" w:hAnsi="Cambria" w:cs="Trebuchet MS"/>
          <w:szCs w:val="22"/>
        </w:rPr>
        <w:t xml:space="preserve">Price elasticities generally lie below 0. The closer a price elasticity is to 0, the more inelastic it is. When a price increase causes quantity to decrease by the same percent, then the elasticity is -1, known as unit elasticity. When elasticities are less than – 1 (i.e., more negative), then the more elastic the price elasticity is, and the larger the decrease in demand due to an increase in price. </w:t>
      </w:r>
    </w:p>
    <w:p w14:paraId="2922B244" w14:textId="77777777" w:rsidR="00C70BE9" w:rsidRPr="000A4A98" w:rsidRDefault="00C70BE9" w:rsidP="00C70BE9">
      <w:pPr>
        <w:rPr>
          <w:rFonts w:ascii="Cambria" w:hAnsi="Cambria"/>
        </w:rPr>
      </w:pPr>
    </w:p>
    <w:p w14:paraId="331D984C" w14:textId="77777777" w:rsidR="00C70BE9" w:rsidRPr="000A4A98" w:rsidRDefault="00C70BE9" w:rsidP="00C70BE9">
      <w:pPr>
        <w:rPr>
          <w:rFonts w:ascii="Cambria" w:hAnsi="Cambria"/>
        </w:rPr>
      </w:pPr>
      <w:r w:rsidRPr="000A4A98">
        <w:rPr>
          <w:rFonts w:ascii="Cambria" w:hAnsi="Cambria"/>
        </w:rPr>
        <w:t>The below figure from WFP shows income and price elasticities for the bread and cereals food group by per capita GDP. As expected, when GDP increases, increases in income results in smaller increases in food purchases and the quantities purchased are less responsive to price changes.</w:t>
      </w:r>
    </w:p>
    <w:p w14:paraId="11685AED" w14:textId="77777777" w:rsidR="00C70BE9" w:rsidRPr="000A4A98" w:rsidRDefault="00C70BE9" w:rsidP="00C70BE9">
      <w:pPr>
        <w:rPr>
          <w:rFonts w:ascii="Cambria" w:hAnsi="Cambria"/>
        </w:rPr>
      </w:pPr>
    </w:p>
    <w:p w14:paraId="6B74FC3A" w14:textId="77777777" w:rsidR="00C70BE9" w:rsidRPr="000A4A98" w:rsidRDefault="00C70BE9" w:rsidP="00C70BE9">
      <w:pPr>
        <w:rPr>
          <w:rFonts w:ascii="Cambria" w:hAnsi="Cambria"/>
        </w:rPr>
      </w:pPr>
    </w:p>
    <w:p w14:paraId="01FD3DE0" w14:textId="77777777" w:rsidR="00C70BE9" w:rsidRPr="000A4A98" w:rsidRDefault="00C70BE9" w:rsidP="00C70BE9">
      <w:pPr>
        <w:rPr>
          <w:rFonts w:ascii="Cambria" w:hAnsi="Cambria"/>
        </w:rPr>
      </w:pPr>
      <w:r w:rsidRPr="000A4A98">
        <w:rPr>
          <w:rFonts w:ascii="Cambria" w:hAnsi="Cambria"/>
          <w:noProof/>
        </w:rPr>
        <w:lastRenderedPageBreak/>
        <w:drawing>
          <wp:anchor distT="0" distB="0" distL="114300" distR="114300" simplePos="0" relativeHeight="251668480" behindDoc="0" locked="0" layoutInCell="1" allowOverlap="1" wp14:anchorId="3B42E22B" wp14:editId="0FEB6BC2">
            <wp:simplePos x="0" y="0"/>
            <wp:positionH relativeFrom="column">
              <wp:posOffset>-177165</wp:posOffset>
            </wp:positionH>
            <wp:positionV relativeFrom="paragraph">
              <wp:posOffset>-85090</wp:posOffset>
            </wp:positionV>
            <wp:extent cx="5575935" cy="3402330"/>
            <wp:effectExtent l="25400" t="0" r="12065" b="0"/>
            <wp:wrapTight wrapText="bothSides">
              <wp:wrapPolygon edited="0">
                <wp:start x="-98" y="0"/>
                <wp:lineTo x="-98" y="21447"/>
                <wp:lineTo x="21647" y="21447"/>
                <wp:lineTo x="21647" y="0"/>
                <wp:lineTo x="-98"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pic:cNvPicPr>
                  </pic:nvPicPr>
                  <pic:blipFill>
                    <a:blip r:embed="rId20" cstate="print"/>
                    <a:srcRect/>
                    <a:stretch>
                      <a:fillRect/>
                    </a:stretch>
                  </pic:blipFill>
                  <pic:spPr bwMode="auto">
                    <a:xfrm>
                      <a:off x="0" y="0"/>
                      <a:ext cx="5575935" cy="3402330"/>
                    </a:xfrm>
                    <a:prstGeom prst="rect">
                      <a:avLst/>
                    </a:prstGeom>
                    <a:noFill/>
                    <a:ln w="12700">
                      <a:miter lim="800000"/>
                      <a:headEnd/>
                      <a:tailEnd/>
                    </a:ln>
                    <a:effectLst/>
                  </pic:spPr>
                </pic:pic>
              </a:graphicData>
            </a:graphic>
          </wp:anchor>
        </w:drawing>
      </w:r>
      <w:r w:rsidRPr="000A4A98">
        <w:rPr>
          <w:rFonts w:ascii="Cambria" w:hAnsi="Cambria"/>
        </w:rPr>
        <w:t xml:space="preserve">Source: Sited in World Food </w:t>
      </w:r>
      <w:proofErr w:type="spellStart"/>
      <w:r w:rsidRPr="000A4A98">
        <w:rPr>
          <w:rFonts w:ascii="Cambria" w:hAnsi="Cambria"/>
        </w:rPr>
        <w:t>Programme</w:t>
      </w:r>
      <w:proofErr w:type="spellEnd"/>
      <w:r w:rsidRPr="000A4A98">
        <w:rPr>
          <w:rFonts w:ascii="Cambria" w:hAnsi="Cambria"/>
        </w:rPr>
        <w:t>, (2008) “PDPE Market Analysis Tool: Price and income elasticities” p.6: USDA-ESR elasticities database, 1996, and GDP data from WDI 2006.</w:t>
      </w:r>
    </w:p>
    <w:p w14:paraId="6B3B7724" w14:textId="77777777" w:rsidR="00C70BE9" w:rsidRPr="000A4A98" w:rsidRDefault="00C70BE9" w:rsidP="00C70BE9">
      <w:pPr>
        <w:rPr>
          <w:rFonts w:ascii="Cambria" w:hAnsi="Cambria"/>
        </w:rPr>
      </w:pPr>
      <w:r w:rsidRPr="000A4A98">
        <w:rPr>
          <w:rFonts w:ascii="Cambria" w:hAnsi="Cambria"/>
          <w:i/>
          <w:iCs/>
        </w:rPr>
        <w:t>Note:</w:t>
      </w:r>
      <w:r w:rsidRPr="000A4A98">
        <w:rPr>
          <w:rFonts w:ascii="Cambria" w:hAnsi="Cambria"/>
        </w:rPr>
        <w:t xml:space="preserve"> Income and price elasticity estimates for the cereal and bread food groups are extracted from the USDA-ESR database collected in 1996. GDP/capita values are in constant 2000 USD for the year 2004. These values were extracted from the WDI 2006 database. The number of countries for which data was available is 107.</w:t>
      </w:r>
    </w:p>
    <w:p w14:paraId="635685D5" w14:textId="77777777" w:rsidR="00C70BE9" w:rsidRPr="000A4A98" w:rsidRDefault="00C70BE9" w:rsidP="00C70BE9">
      <w:pPr>
        <w:rPr>
          <w:rFonts w:ascii="Cambria" w:hAnsi="Cambria"/>
        </w:rPr>
      </w:pPr>
    </w:p>
    <w:p w14:paraId="7F3314EF" w14:textId="77777777" w:rsidR="00547024" w:rsidRPr="000A4A98" w:rsidRDefault="00547024" w:rsidP="00547024">
      <w:pPr>
        <w:rPr>
          <w:rFonts w:ascii="Cambria" w:hAnsi="Cambria"/>
        </w:rPr>
      </w:pPr>
    </w:p>
    <w:p w14:paraId="65B705AA" w14:textId="5D9B6C14" w:rsidR="00547024" w:rsidRDefault="00547024" w:rsidP="00547024">
      <w:pPr>
        <w:rPr>
          <w:rFonts w:ascii="Cambria" w:hAnsi="Cambria"/>
        </w:rPr>
      </w:pPr>
      <w:r w:rsidRPr="000A4A98">
        <w:rPr>
          <w:rFonts w:ascii="Cambria" w:hAnsi="Cambria"/>
        </w:rPr>
        <w:t>The following FEWS NET tables list what can influence the elasticities of demand and supply (2008; Lesson 1, p. 24).</w:t>
      </w:r>
      <w:r>
        <w:rPr>
          <w:rFonts w:ascii="Cambria" w:hAnsi="Cambria"/>
        </w:rPr>
        <w:t xml:space="preserve"> </w:t>
      </w:r>
      <w:r w:rsidRPr="000A4A98">
        <w:rPr>
          <w:rFonts w:ascii="Cambria" w:hAnsi="Cambria"/>
        </w:rPr>
        <w:t xml:space="preserve">Cash transfers stimulate demand more when distributed to poorer people in lean seasons.  Transfers in kind (i.e., as food) stimulate food demand more than cash but because of Engel’s Law (i.e., the income elasticity of food is less than one), transfers in kind typically lower market demand. If these induced market demand changes are high, and supply is inelastic, then distribution of cash may harm non-beneficiaries.  </w:t>
      </w:r>
    </w:p>
    <w:p w14:paraId="396139E1" w14:textId="77777777" w:rsidR="00547024" w:rsidRDefault="00547024" w:rsidP="00547024">
      <w:pPr>
        <w:rPr>
          <w:rFonts w:ascii="Cambria" w:hAnsi="Cambria"/>
        </w:rPr>
      </w:pPr>
    </w:p>
    <w:p w14:paraId="61F62E86" w14:textId="77777777" w:rsidR="00547024" w:rsidRPr="000A4A98" w:rsidRDefault="00547024" w:rsidP="00547024">
      <w:pPr>
        <w:rPr>
          <w:rFonts w:ascii="Cambria" w:hAnsi="Cambria"/>
        </w:rPr>
      </w:pPr>
      <w:r w:rsidRPr="000A4A98">
        <w:rPr>
          <w:rFonts w:ascii="Cambria" w:hAnsi="Cambria"/>
        </w:rPr>
        <w:t>Income elasticities can vary from individual to individual. They can also vary by season, by commodity, and by the form of transfer (e.g., vouchers versus cash). Variable elasticities of demand by income means that effective targeting will disrupt local markets less than poor targeting will. If non-poor households receive food, they may sell more of it because they face lower income elasticities of demand than poorer households, potentially further depressing local food prices.</w:t>
      </w:r>
      <w:r w:rsidRPr="000A4A98" w:rsidDel="002E1416">
        <w:rPr>
          <w:rFonts w:ascii="Cambria" w:hAnsi="Cambria"/>
        </w:rPr>
        <w:t xml:space="preserve"> </w:t>
      </w:r>
      <w:r w:rsidRPr="000A4A98">
        <w:rPr>
          <w:rFonts w:ascii="Cambria" w:hAnsi="Cambria"/>
        </w:rPr>
        <w:t>As the ratio of food expenditures to income increases, price increases more negatively affect poor non-recipients in local markets and in source LRP markets.</w:t>
      </w:r>
    </w:p>
    <w:p w14:paraId="314B6E78" w14:textId="77777777" w:rsidR="00547024" w:rsidRPr="000A4A98" w:rsidRDefault="00547024" w:rsidP="00484807">
      <w:pPr>
        <w:rPr>
          <w:rFonts w:ascii="Cambria" w:hAnsi="Cambria"/>
        </w:rPr>
      </w:pPr>
    </w:p>
    <w:p w14:paraId="19F7A0E3" w14:textId="77777777" w:rsidR="00484807" w:rsidRPr="000A4A98" w:rsidRDefault="00484807" w:rsidP="00484807">
      <w:pPr>
        <w:rPr>
          <w:rFonts w:ascii="Cambria" w:hAnsi="Cambria"/>
        </w:rPr>
      </w:pPr>
      <w:r w:rsidRPr="000A4A98">
        <w:rPr>
          <w:rFonts w:ascii="Cambria" w:hAnsi="Cambria"/>
          <w:noProof/>
        </w:rPr>
        <w:lastRenderedPageBreak/>
        <w:drawing>
          <wp:inline distT="0" distB="0" distL="0" distR="0" wp14:anchorId="01ABCA06" wp14:editId="367204DF">
            <wp:extent cx="5486400" cy="3505200"/>
            <wp:effectExtent l="25400" t="0" r="0" b="0"/>
            <wp:docPr id="22" name="P 17" descr="FEWs Reasons for elasticity 1.tiff"/>
            <wp:cNvGraphicFramePr/>
            <a:graphic xmlns:a="http://schemas.openxmlformats.org/drawingml/2006/main">
              <a:graphicData uri="http://schemas.openxmlformats.org/drawingml/2006/picture">
                <pic:pic xmlns:pic="http://schemas.openxmlformats.org/drawingml/2006/picture">
                  <pic:nvPicPr>
                    <pic:cNvPr id="0" name="Content Placeholder 4" descr="FEWs Reasons for elasticity 1.tiff"/>
                    <pic:cNvPicPr>
                      <a:picLocks noGrp="1" noChangeAspect="1"/>
                    </pic:cNvPicPr>
                  </pic:nvPicPr>
                  <pic:blipFill>
                    <a:blip r:embed="rId21" cstate="print"/>
                    <a:srcRect t="-9602" b="-9602"/>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72D1AB09" w14:textId="113F35DC" w:rsidR="00561C93" w:rsidRPr="00FB15D6" w:rsidRDefault="00484807" w:rsidP="00EF3D53">
      <w:pPr>
        <w:rPr>
          <w:rFonts w:ascii="Cambria" w:hAnsi="Cambria"/>
        </w:rPr>
      </w:pPr>
      <w:r w:rsidRPr="000A4A98">
        <w:rPr>
          <w:rFonts w:ascii="Cambria" w:hAnsi="Cambria"/>
          <w:noProof/>
        </w:rPr>
        <w:drawing>
          <wp:inline distT="0" distB="0" distL="0" distR="0" wp14:anchorId="4F31BDCC" wp14:editId="424B2356">
            <wp:extent cx="5486400" cy="3505200"/>
            <wp:effectExtent l="25400" t="0" r="0" b="0"/>
            <wp:docPr id="21" name="P 18" descr="FEWs Reasons for Elasticity 2.tiff"/>
            <wp:cNvGraphicFramePr/>
            <a:graphic xmlns:a="http://schemas.openxmlformats.org/drawingml/2006/main">
              <a:graphicData uri="http://schemas.openxmlformats.org/drawingml/2006/picture">
                <pic:pic xmlns:pic="http://schemas.openxmlformats.org/drawingml/2006/picture">
                  <pic:nvPicPr>
                    <pic:cNvPr id="0" name="Content Placeholder 6" descr="FEWs Reasons for Elasticity 2.tiff"/>
                    <pic:cNvPicPr>
                      <a:picLocks noGrp="1" noChangeAspect="1"/>
                    </pic:cNvPicPr>
                  </pic:nvPicPr>
                  <pic:blipFill>
                    <a:blip r:embed="rId22" cstate="print"/>
                    <a:srcRect t="-18744" b="-18744"/>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709B6BF5" w14:textId="3BE9BE88" w:rsidR="00561C93" w:rsidRPr="00FB15D6" w:rsidRDefault="00FB15D6" w:rsidP="00EF3D53">
      <w:pPr>
        <w:rPr>
          <w:rFonts w:ascii="Cambria" w:hAnsi="Cambria"/>
          <w:i/>
          <w:u w:val="single"/>
        </w:rPr>
      </w:pPr>
      <w:r w:rsidRPr="00FB15D6">
        <w:rPr>
          <w:rFonts w:ascii="Cambria" w:hAnsi="Cambria"/>
          <w:i/>
          <w:u w:val="single"/>
        </w:rPr>
        <w:t xml:space="preserve">Applying elasticities to estimate changes in demand </w:t>
      </w:r>
    </w:p>
    <w:p w14:paraId="09273BBF" w14:textId="1589813B" w:rsidR="00EF3D53" w:rsidRPr="00876247" w:rsidRDefault="00EF3D53" w:rsidP="00EF3D53">
      <w:pPr>
        <w:rPr>
          <w:rFonts w:ascii="Cambria" w:hAnsi="Cambria"/>
          <w:i/>
        </w:rPr>
      </w:pPr>
      <w:r w:rsidRPr="00876247">
        <w:rPr>
          <w:rFonts w:ascii="Cambria" w:hAnsi="Cambria"/>
          <w:i/>
        </w:rPr>
        <w:t>Example 1: Income elasticities</w:t>
      </w:r>
    </w:p>
    <w:p w14:paraId="7FD9163A" w14:textId="77777777" w:rsidR="00580156" w:rsidRDefault="00EF3D53" w:rsidP="00EF3D53">
      <w:pPr>
        <w:rPr>
          <w:rFonts w:ascii="Cambria" w:hAnsi="Cambria"/>
        </w:rPr>
      </w:pPr>
      <w:r w:rsidRPr="000A4A98">
        <w:rPr>
          <w:rFonts w:ascii="Cambria" w:hAnsi="Cambria"/>
        </w:rPr>
        <w:t>I</w:t>
      </w:r>
      <w:r w:rsidR="00876247">
        <w:rPr>
          <w:rFonts w:ascii="Cambria" w:hAnsi="Cambria"/>
        </w:rPr>
        <w:t>n this example, we estimate the increase in demand due to</w:t>
      </w:r>
      <w:r w:rsidRPr="000A4A98">
        <w:rPr>
          <w:rFonts w:ascii="Cambria" w:hAnsi="Cambria"/>
        </w:rPr>
        <w:t xml:space="preserve"> </w:t>
      </w:r>
      <w:r w:rsidR="00876247">
        <w:rPr>
          <w:rFonts w:ascii="Cambria" w:hAnsi="Cambria"/>
        </w:rPr>
        <w:t xml:space="preserve">cash </w:t>
      </w:r>
      <w:r w:rsidRPr="000A4A98">
        <w:rPr>
          <w:rFonts w:ascii="Cambria" w:hAnsi="Cambria"/>
        </w:rPr>
        <w:t>transfers</w:t>
      </w:r>
      <w:r w:rsidR="00876247">
        <w:rPr>
          <w:rFonts w:ascii="Cambria" w:hAnsi="Cambria"/>
        </w:rPr>
        <w:t xml:space="preserve">. </w:t>
      </w:r>
      <w:r w:rsidRPr="000A4A98">
        <w:rPr>
          <w:rFonts w:ascii="Cambria" w:hAnsi="Cambria"/>
        </w:rPr>
        <w:t xml:space="preserve">The expected demand expansion due to a transfer equals the product of the income elasticity of demand and the value of the transfer to households.  </w:t>
      </w:r>
    </w:p>
    <w:p w14:paraId="37A4B389" w14:textId="77777777" w:rsidR="00580156" w:rsidRDefault="00580156" w:rsidP="00EF3D53">
      <w:pPr>
        <w:rPr>
          <w:rFonts w:ascii="Cambria" w:hAnsi="Cambria"/>
        </w:rPr>
      </w:pPr>
    </w:p>
    <w:p w14:paraId="4970ADA9" w14:textId="7710B555" w:rsidR="00EF3D53" w:rsidRPr="000A4A98" w:rsidRDefault="00EF3D53" w:rsidP="00EF3D53">
      <w:pPr>
        <w:rPr>
          <w:rFonts w:ascii="Cambria" w:hAnsi="Cambria"/>
        </w:rPr>
      </w:pPr>
      <w:r w:rsidRPr="000A4A98">
        <w:rPr>
          <w:rFonts w:ascii="Cambria" w:hAnsi="Cambria"/>
        </w:rPr>
        <w:lastRenderedPageBreak/>
        <w:t xml:space="preserve">Once the approximate </w:t>
      </w:r>
      <w:r w:rsidR="00580156">
        <w:rPr>
          <w:rFonts w:ascii="Cambria" w:hAnsi="Cambria"/>
        </w:rPr>
        <w:t>estimated increase in demand</w:t>
      </w:r>
      <w:r w:rsidRPr="000A4A98">
        <w:rPr>
          <w:rFonts w:ascii="Cambria" w:hAnsi="Cambria"/>
        </w:rPr>
        <w:t xml:space="preserve"> is known, interviews with traders and analysis of market data can help determine whether traders can expand their capacity to meet this increase.</w:t>
      </w:r>
    </w:p>
    <w:p w14:paraId="6022E062" w14:textId="77777777" w:rsidR="007A1016" w:rsidRPr="000A4A98" w:rsidRDefault="007A1016" w:rsidP="00EF3D53">
      <w:pPr>
        <w:rPr>
          <w:rFonts w:ascii="Cambria" w:hAnsi="Cambria"/>
        </w:rPr>
      </w:pPr>
    </w:p>
    <w:p w14:paraId="3506FAFA" w14:textId="5BF2C8A6" w:rsidR="007A1016" w:rsidRPr="000A4A98" w:rsidRDefault="007A1016" w:rsidP="00EF3D53">
      <w:pPr>
        <w:rPr>
          <w:rFonts w:ascii="Cambria" w:hAnsi="Cambria"/>
        </w:rPr>
      </w:pPr>
      <w:r w:rsidRPr="000A4A98">
        <w:rPr>
          <w:rFonts w:ascii="Cambria" w:hAnsi="Cambria"/>
        </w:rPr>
        <w:t xml:space="preserve">In the example below, we estimate an agency has identified food insecurity in two different </w:t>
      </w:r>
      <w:proofErr w:type="spellStart"/>
      <w:r w:rsidRPr="000A4A98">
        <w:rPr>
          <w:rFonts w:ascii="Cambria" w:hAnsi="Cambria"/>
        </w:rPr>
        <w:t>marketsheds</w:t>
      </w:r>
      <w:proofErr w:type="spellEnd"/>
      <w:r w:rsidRPr="000A4A98">
        <w:rPr>
          <w:rFonts w:ascii="Cambria" w:hAnsi="Cambria"/>
        </w:rPr>
        <w:t xml:space="preserve">, A and B. Based on the needs assessment, the agency decides it needs to distribute $100,000 in </w:t>
      </w:r>
      <w:proofErr w:type="spellStart"/>
      <w:r w:rsidRPr="000A4A98">
        <w:rPr>
          <w:rFonts w:ascii="Cambria" w:hAnsi="Cambria"/>
        </w:rPr>
        <w:t>marketshed</w:t>
      </w:r>
      <w:proofErr w:type="spellEnd"/>
      <w:r w:rsidRPr="000A4A98">
        <w:rPr>
          <w:rFonts w:ascii="Cambria" w:hAnsi="Cambria"/>
        </w:rPr>
        <w:t xml:space="preserve"> A and the remaining $200,000 in </w:t>
      </w:r>
      <w:proofErr w:type="spellStart"/>
      <w:r w:rsidRPr="000A4A98">
        <w:rPr>
          <w:rFonts w:ascii="Cambria" w:hAnsi="Cambria"/>
        </w:rPr>
        <w:t>marketshed</w:t>
      </w:r>
      <w:proofErr w:type="spellEnd"/>
      <w:r w:rsidRPr="000A4A98">
        <w:rPr>
          <w:rFonts w:ascii="Cambria" w:hAnsi="Cambria"/>
        </w:rPr>
        <w:t xml:space="preserve"> B. The agency is interested in both the total amount of the local staple food that could be purchased with that distribution and the total amount of the local staple that will likely be purchased.</w:t>
      </w:r>
    </w:p>
    <w:p w14:paraId="02C305F0" w14:textId="77777777" w:rsidR="00EF3D53" w:rsidRPr="000A4A98" w:rsidRDefault="00EF3D53" w:rsidP="00EF3D53">
      <w:pPr>
        <w:rPr>
          <w:rFonts w:ascii="Cambria" w:hAnsi="Cambria"/>
        </w:rPr>
      </w:pPr>
    </w:p>
    <w:p w14:paraId="0EC77DFD" w14:textId="74F01C32" w:rsidR="00EF3D53" w:rsidRPr="00BF6F8F" w:rsidRDefault="00EF3D53" w:rsidP="00BF6F8F">
      <w:pPr>
        <w:pStyle w:val="TOC2"/>
      </w:pPr>
      <w:r w:rsidRPr="00BF6F8F">
        <w:t>Income Elasticity of Dem</w:t>
      </w:r>
      <w:r w:rsidR="00454294" w:rsidRPr="00BF6F8F">
        <w:t>and: Estimating increase in tons</w:t>
      </w:r>
      <w:r w:rsidRPr="00BF6F8F">
        <w:t xml:space="preserve"> demanded for a major staple food due to cash distribution</w:t>
      </w:r>
    </w:p>
    <w:tbl>
      <w:tblPr>
        <w:tblW w:w="8754" w:type="dxa"/>
        <w:tblInd w:w="-59" w:type="dxa"/>
        <w:tblCellMar>
          <w:left w:w="0" w:type="dxa"/>
          <w:right w:w="0" w:type="dxa"/>
        </w:tblCellMar>
        <w:tblLook w:val="0000" w:firstRow="0" w:lastRow="0" w:firstColumn="0" w:lastColumn="0" w:noHBand="0" w:noVBand="0"/>
      </w:tblPr>
      <w:tblGrid>
        <w:gridCol w:w="1190"/>
        <w:gridCol w:w="1222"/>
        <w:gridCol w:w="762"/>
        <w:gridCol w:w="1061"/>
        <w:gridCol w:w="1028"/>
        <w:gridCol w:w="1089"/>
        <w:gridCol w:w="1217"/>
        <w:gridCol w:w="1185"/>
      </w:tblGrid>
      <w:tr w:rsidR="003B1337" w:rsidRPr="000A4A98" w14:paraId="1261D645" w14:textId="77777777" w:rsidTr="003B1337">
        <w:trPr>
          <w:trHeight w:val="266"/>
        </w:trPr>
        <w:tc>
          <w:tcPr>
            <w:tcW w:w="1205"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2A12D96C" w14:textId="77777777" w:rsidR="003B1337" w:rsidRPr="000A4A98" w:rsidRDefault="003B1337" w:rsidP="00FE1755">
            <w:pPr>
              <w:textAlignment w:val="bottom"/>
              <w:rPr>
                <w:rFonts w:ascii="Cambria" w:hAnsi="Cambria" w:cs="Times New Roman"/>
                <w:sz w:val="20"/>
                <w:szCs w:val="36"/>
              </w:rPr>
            </w:pPr>
          </w:p>
        </w:tc>
        <w:tc>
          <w:tcPr>
            <w:tcW w:w="1063"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302BCF2A" w14:textId="6E88466D"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A</w:t>
            </w:r>
          </w:p>
        </w:tc>
        <w:tc>
          <w:tcPr>
            <w:tcW w:w="782"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BB74A50" w14:textId="7D02B14A"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B</w:t>
            </w:r>
          </w:p>
        </w:tc>
        <w:tc>
          <w:tcPr>
            <w:tcW w:w="1076"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61AAA08C" w14:textId="7761953C"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C=A/B</w:t>
            </w:r>
          </w:p>
        </w:tc>
        <w:tc>
          <w:tcPr>
            <w:tcW w:w="1054"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69DE119E" w14:textId="75A71BA0"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D</w:t>
            </w:r>
          </w:p>
        </w:tc>
        <w:tc>
          <w:tcPr>
            <w:tcW w:w="1122"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0756D6C8" w14:textId="26DBBAA5"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E</w:t>
            </w:r>
          </w:p>
        </w:tc>
        <w:tc>
          <w:tcPr>
            <w:tcW w:w="1244"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297A7E37" w14:textId="5694069C"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F=C*D</w:t>
            </w:r>
          </w:p>
        </w:tc>
        <w:tc>
          <w:tcPr>
            <w:tcW w:w="1208"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5B48C95D" w14:textId="07CE7122" w:rsidR="003B1337" w:rsidRPr="000A4A98" w:rsidRDefault="003B1337" w:rsidP="00FE1755">
            <w:pPr>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G=C*E</w:t>
            </w:r>
          </w:p>
        </w:tc>
      </w:tr>
      <w:tr w:rsidR="003B1337" w:rsidRPr="000A4A98" w14:paraId="0A7132B5" w14:textId="77777777" w:rsidTr="003B1337">
        <w:trPr>
          <w:trHeight w:val="1607"/>
        </w:trPr>
        <w:tc>
          <w:tcPr>
            <w:tcW w:w="1205"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639166D" w14:textId="77777777" w:rsidR="00EF3D53" w:rsidRPr="000A4A98" w:rsidRDefault="00EF3D53" w:rsidP="00CB6779">
            <w:pPr>
              <w:textAlignment w:val="bottom"/>
              <w:rPr>
                <w:rFonts w:ascii="Cambria" w:hAnsi="Cambria" w:cs="Times New Roman"/>
                <w:sz w:val="20"/>
                <w:szCs w:val="36"/>
              </w:rPr>
            </w:pPr>
          </w:p>
        </w:tc>
        <w:tc>
          <w:tcPr>
            <w:tcW w:w="1063"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271E10F7" w14:textId="3DD9A7F9" w:rsidR="00EF3D53" w:rsidRPr="000A4A98" w:rsidRDefault="003B1337" w:rsidP="003B1337">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 xml:space="preserve">Budget for the transfer </w:t>
            </w:r>
            <w:r w:rsidR="007C3A50" w:rsidRPr="000A4A98">
              <w:rPr>
                <w:rFonts w:ascii="Cambria" w:eastAsia="ヒラギノ明朝 ProN W3" w:hAnsi="Cambria" w:cs="ヒラギノ明朝 ProN W3"/>
                <w:color w:val="000000"/>
                <w:kern w:val="24"/>
                <w:sz w:val="20"/>
                <w:szCs w:val="28"/>
              </w:rPr>
              <w:t xml:space="preserve">disbursement </w:t>
            </w:r>
            <w:r w:rsidRPr="000A4A98">
              <w:rPr>
                <w:rFonts w:ascii="Cambria" w:eastAsia="ヒラギノ明朝 ProN W3" w:hAnsi="Cambria" w:cs="ヒラギノ明朝 ProN W3"/>
                <w:color w:val="000000"/>
                <w:kern w:val="24"/>
                <w:sz w:val="20"/>
                <w:szCs w:val="28"/>
              </w:rPr>
              <w:t>(net of distribution costs)</w:t>
            </w:r>
          </w:p>
        </w:tc>
        <w:tc>
          <w:tcPr>
            <w:tcW w:w="782"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77DA481" w14:textId="77777777" w:rsidR="00EF3D53" w:rsidRPr="000A4A98" w:rsidRDefault="00EF3D53" w:rsidP="00CB6779">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Cost of staple per metric ton</w:t>
            </w:r>
          </w:p>
        </w:tc>
        <w:tc>
          <w:tcPr>
            <w:tcW w:w="1076"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3A1CBB5C" w14:textId="32700091" w:rsidR="00EF3D53" w:rsidRPr="000A4A98" w:rsidRDefault="00C232D5" w:rsidP="00CB6779">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Tons</w:t>
            </w:r>
            <w:r w:rsidR="00EF3D53" w:rsidRPr="000A4A98">
              <w:rPr>
                <w:rFonts w:ascii="Cambria" w:eastAsia="ヒラギノ明朝 ProN W3" w:hAnsi="Cambria" w:cs="ヒラギノ明朝 ProN W3"/>
                <w:color w:val="000000"/>
                <w:kern w:val="24"/>
                <w:sz w:val="20"/>
                <w:szCs w:val="28"/>
              </w:rPr>
              <w:t xml:space="preserve"> of food that could be purchased with cash</w:t>
            </w:r>
          </w:p>
        </w:tc>
        <w:tc>
          <w:tcPr>
            <w:tcW w:w="1054"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7B4C91BC" w14:textId="77777777" w:rsidR="00EF3D53" w:rsidRPr="000A4A98" w:rsidRDefault="00EF3D53" w:rsidP="00CB6779">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 xml:space="preserve">Income elasticity of demand: More elastic </w:t>
            </w:r>
          </w:p>
        </w:tc>
        <w:tc>
          <w:tcPr>
            <w:tcW w:w="1122"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37FC6EB" w14:textId="77777777" w:rsidR="00EF3D53" w:rsidRPr="000A4A98" w:rsidRDefault="00EF3D53" w:rsidP="00CB6779">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 xml:space="preserve">Income elasticity of demand: Less elastic </w:t>
            </w:r>
          </w:p>
        </w:tc>
        <w:tc>
          <w:tcPr>
            <w:tcW w:w="1244"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7FEF553" w14:textId="629E1D5D" w:rsidR="00EF3D53" w:rsidRPr="000A4A98" w:rsidRDefault="00EF3D53" w:rsidP="00C232D5">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 xml:space="preserve">Additional </w:t>
            </w:r>
            <w:r w:rsidR="00C232D5" w:rsidRPr="000A4A98">
              <w:rPr>
                <w:rFonts w:ascii="Cambria" w:eastAsia="ヒラギノ明朝 ProN W3" w:hAnsi="Cambria" w:cs="ヒラギノ明朝 ProN W3"/>
                <w:color w:val="000000"/>
                <w:kern w:val="24"/>
                <w:sz w:val="20"/>
                <w:szCs w:val="28"/>
              </w:rPr>
              <w:t xml:space="preserve">tons </w:t>
            </w:r>
            <w:r w:rsidRPr="000A4A98">
              <w:rPr>
                <w:rFonts w:ascii="Cambria" w:eastAsia="ヒラギノ明朝 ProN W3" w:hAnsi="Cambria" w:cs="ヒラギノ明朝 ProN W3"/>
                <w:color w:val="000000"/>
                <w:kern w:val="24"/>
                <w:sz w:val="20"/>
                <w:szCs w:val="28"/>
              </w:rPr>
              <w:t>demanded: High estimate</w:t>
            </w:r>
          </w:p>
        </w:tc>
        <w:tc>
          <w:tcPr>
            <w:tcW w:w="1208"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2B161D5D" w14:textId="62C25933" w:rsidR="00EF3D53" w:rsidRPr="000A4A98" w:rsidRDefault="00C232D5" w:rsidP="00C232D5">
            <w:pPr>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 xml:space="preserve">Additional tons </w:t>
            </w:r>
            <w:r w:rsidR="00EF3D53" w:rsidRPr="000A4A98">
              <w:rPr>
                <w:rFonts w:ascii="Cambria" w:eastAsia="ヒラギノ明朝 ProN W3" w:hAnsi="Cambria" w:cs="ヒラギノ明朝 ProN W3"/>
                <w:color w:val="000000"/>
                <w:kern w:val="24"/>
                <w:sz w:val="20"/>
                <w:szCs w:val="28"/>
              </w:rPr>
              <w:t>demanded: Low estimate</w:t>
            </w:r>
          </w:p>
        </w:tc>
      </w:tr>
      <w:tr w:rsidR="003B1337" w:rsidRPr="000A4A98" w14:paraId="1A6CF017" w14:textId="77777777" w:rsidTr="003B1337">
        <w:trPr>
          <w:trHeight w:val="496"/>
        </w:trPr>
        <w:tc>
          <w:tcPr>
            <w:tcW w:w="1205"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3B30CE4" w14:textId="408A374C" w:rsidR="00EF3D53" w:rsidRPr="000A4A98" w:rsidRDefault="00EF3D53" w:rsidP="00CB6779">
            <w:pPr>
              <w:textAlignment w:val="bottom"/>
              <w:rPr>
                <w:rFonts w:ascii="Cambria" w:hAnsi="Cambria" w:cs="Times New Roman"/>
                <w:sz w:val="20"/>
                <w:szCs w:val="36"/>
              </w:rPr>
            </w:pPr>
            <w:proofErr w:type="spellStart"/>
            <w:r w:rsidRPr="000A4A98">
              <w:rPr>
                <w:rFonts w:ascii="Cambria" w:eastAsia="ヒラギノ明朝 ProN W3" w:hAnsi="Cambria" w:cs="ヒラギノ明朝 ProN W3"/>
                <w:color w:val="000000"/>
                <w:kern w:val="24"/>
                <w:sz w:val="20"/>
                <w:szCs w:val="28"/>
              </w:rPr>
              <w:t>Market</w:t>
            </w:r>
            <w:r w:rsidR="007A1016" w:rsidRPr="000A4A98">
              <w:rPr>
                <w:rFonts w:ascii="Cambria" w:eastAsia="ヒラギノ明朝 ProN W3" w:hAnsi="Cambria" w:cs="ヒラギノ明朝 ProN W3"/>
                <w:color w:val="000000"/>
                <w:kern w:val="24"/>
                <w:sz w:val="20"/>
                <w:szCs w:val="28"/>
              </w:rPr>
              <w:t>shed</w:t>
            </w:r>
            <w:proofErr w:type="spellEnd"/>
            <w:r w:rsidR="007A1016" w:rsidRPr="000A4A98">
              <w:rPr>
                <w:rFonts w:ascii="Cambria" w:eastAsia="ヒラギノ明朝 ProN W3" w:hAnsi="Cambria" w:cs="ヒラギノ明朝 ProN W3"/>
                <w:color w:val="000000"/>
                <w:kern w:val="24"/>
                <w:sz w:val="20"/>
                <w:szCs w:val="28"/>
              </w:rPr>
              <w:t xml:space="preserve"> </w:t>
            </w:r>
            <w:r w:rsidRPr="000A4A98">
              <w:rPr>
                <w:rFonts w:ascii="Cambria" w:eastAsia="ヒラギノ明朝 ProN W3" w:hAnsi="Cambria" w:cs="ヒラギノ明朝 ProN W3"/>
                <w:color w:val="000000"/>
                <w:kern w:val="24"/>
                <w:sz w:val="20"/>
                <w:szCs w:val="28"/>
              </w:rPr>
              <w:t xml:space="preserve"> A</w:t>
            </w:r>
          </w:p>
        </w:tc>
        <w:tc>
          <w:tcPr>
            <w:tcW w:w="1063"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77025713" w14:textId="3F460E03" w:rsidR="00EF3D53" w:rsidRPr="000A4A98" w:rsidRDefault="007A1016" w:rsidP="00CB6779">
            <w:pPr>
              <w:jc w:val="right"/>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w:t>
            </w:r>
            <w:r w:rsidR="00EF3D53" w:rsidRPr="000A4A98">
              <w:rPr>
                <w:rFonts w:ascii="Cambria" w:eastAsia="ヒラギノ明朝 ProN W3" w:hAnsi="Cambria" w:cs="ヒラギノ明朝 ProN W3"/>
                <w:color w:val="000000"/>
                <w:kern w:val="24"/>
                <w:sz w:val="20"/>
                <w:szCs w:val="28"/>
              </w:rPr>
              <w:t>100,000</w:t>
            </w:r>
          </w:p>
        </w:tc>
        <w:tc>
          <w:tcPr>
            <w:tcW w:w="782"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FD36259"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1900</w:t>
            </w:r>
          </w:p>
        </w:tc>
        <w:tc>
          <w:tcPr>
            <w:tcW w:w="1076"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B70C047"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52.63</w:t>
            </w:r>
          </w:p>
        </w:tc>
        <w:tc>
          <w:tcPr>
            <w:tcW w:w="1054"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F8D5CBB"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0.6</w:t>
            </w:r>
          </w:p>
        </w:tc>
        <w:tc>
          <w:tcPr>
            <w:tcW w:w="1122"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D2B2BDB"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0.3</w:t>
            </w:r>
          </w:p>
        </w:tc>
        <w:tc>
          <w:tcPr>
            <w:tcW w:w="1244"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C3E33B2"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31.58</w:t>
            </w:r>
          </w:p>
        </w:tc>
        <w:tc>
          <w:tcPr>
            <w:tcW w:w="1208"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95203EA"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15.79</w:t>
            </w:r>
          </w:p>
        </w:tc>
      </w:tr>
      <w:tr w:rsidR="003B1337" w:rsidRPr="000A4A98" w14:paraId="67541729" w14:textId="77777777" w:rsidTr="003B1337">
        <w:trPr>
          <w:trHeight w:val="293"/>
        </w:trPr>
        <w:tc>
          <w:tcPr>
            <w:tcW w:w="1205"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0437227"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063"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67F2D2B"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78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7F48CC9"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076"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BC9BD67"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054"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5741613"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12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417FA1E8"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244"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873144D"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c>
          <w:tcPr>
            <w:tcW w:w="1208"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1DEB1B4" w14:textId="77777777" w:rsidR="00EF3D53" w:rsidRPr="000A4A98" w:rsidRDefault="00EF3D53" w:rsidP="00CB6779">
            <w:pPr>
              <w:textAlignment w:val="bottom"/>
              <w:rPr>
                <w:rFonts w:ascii="Cambria" w:eastAsia="ヒラギノ明朝 ProN W3" w:hAnsi="Cambria" w:cs="ヒラギノ明朝 ProN W3"/>
                <w:color w:val="000000"/>
                <w:kern w:val="24"/>
                <w:sz w:val="20"/>
                <w:szCs w:val="28"/>
              </w:rPr>
            </w:pPr>
          </w:p>
        </w:tc>
      </w:tr>
      <w:tr w:rsidR="003B1337" w:rsidRPr="000A4A98" w14:paraId="543A73F5" w14:textId="77777777" w:rsidTr="003B1337">
        <w:trPr>
          <w:trHeight w:val="320"/>
        </w:trPr>
        <w:tc>
          <w:tcPr>
            <w:tcW w:w="1205"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00978C2" w14:textId="117836CE" w:rsidR="00EF3D53" w:rsidRPr="000A4A98" w:rsidRDefault="00EF3D53" w:rsidP="00CB6779">
            <w:pPr>
              <w:textAlignment w:val="bottom"/>
              <w:rPr>
                <w:rFonts w:ascii="Cambria" w:hAnsi="Cambria" w:cs="Times New Roman"/>
                <w:sz w:val="20"/>
                <w:szCs w:val="36"/>
              </w:rPr>
            </w:pPr>
            <w:proofErr w:type="spellStart"/>
            <w:r w:rsidRPr="000A4A98">
              <w:rPr>
                <w:rFonts w:ascii="Cambria" w:eastAsia="ヒラギノ明朝 ProN W3" w:hAnsi="Cambria" w:cs="ヒラギノ明朝 ProN W3"/>
                <w:color w:val="000000"/>
                <w:kern w:val="24"/>
                <w:sz w:val="20"/>
                <w:szCs w:val="28"/>
              </w:rPr>
              <w:t>Market</w:t>
            </w:r>
            <w:r w:rsidR="007A1016" w:rsidRPr="000A4A98">
              <w:rPr>
                <w:rFonts w:ascii="Cambria" w:eastAsia="ヒラギノ明朝 ProN W3" w:hAnsi="Cambria" w:cs="ヒラギノ明朝 ProN W3"/>
                <w:color w:val="000000"/>
                <w:kern w:val="24"/>
                <w:sz w:val="20"/>
                <w:szCs w:val="28"/>
              </w:rPr>
              <w:t>shed</w:t>
            </w:r>
            <w:proofErr w:type="spellEnd"/>
            <w:r w:rsidRPr="000A4A98">
              <w:rPr>
                <w:rFonts w:ascii="Cambria" w:eastAsia="ヒラギノ明朝 ProN W3" w:hAnsi="Cambria" w:cs="ヒラギノ明朝 ProN W3"/>
                <w:color w:val="000000"/>
                <w:kern w:val="24"/>
                <w:sz w:val="20"/>
                <w:szCs w:val="28"/>
              </w:rPr>
              <w:t xml:space="preserve"> B</w:t>
            </w:r>
          </w:p>
        </w:tc>
        <w:tc>
          <w:tcPr>
            <w:tcW w:w="1063"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66A5D6E" w14:textId="7D946240" w:rsidR="00EF3D53" w:rsidRPr="000A4A98" w:rsidRDefault="007A1016" w:rsidP="00CB6779">
            <w:pPr>
              <w:jc w:val="right"/>
              <w:textAlignment w:val="bottom"/>
              <w:rPr>
                <w:rFonts w:ascii="Cambria" w:eastAsia="ヒラギノ明朝 ProN W3" w:hAnsi="Cambria" w:cs="ヒラギノ明朝 ProN W3"/>
                <w:color w:val="000000"/>
                <w:kern w:val="24"/>
                <w:sz w:val="20"/>
                <w:szCs w:val="28"/>
              </w:rPr>
            </w:pPr>
            <w:r w:rsidRPr="000A4A98">
              <w:rPr>
                <w:rFonts w:ascii="Cambria" w:eastAsia="ヒラギノ明朝 ProN W3" w:hAnsi="Cambria" w:cs="ヒラギノ明朝 ProN W3"/>
                <w:color w:val="000000"/>
                <w:kern w:val="24"/>
                <w:sz w:val="20"/>
                <w:szCs w:val="28"/>
              </w:rPr>
              <w:t>$</w:t>
            </w:r>
            <w:r w:rsidR="00EF3D53" w:rsidRPr="000A4A98">
              <w:rPr>
                <w:rFonts w:ascii="Cambria" w:eastAsia="ヒラギノ明朝 ProN W3" w:hAnsi="Cambria" w:cs="ヒラギノ明朝 ProN W3"/>
                <w:color w:val="000000"/>
                <w:kern w:val="24"/>
                <w:sz w:val="20"/>
                <w:szCs w:val="28"/>
              </w:rPr>
              <w:t>200,000</w:t>
            </w:r>
          </w:p>
        </w:tc>
        <w:tc>
          <w:tcPr>
            <w:tcW w:w="782"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98F0C37"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1900</w:t>
            </w:r>
          </w:p>
        </w:tc>
        <w:tc>
          <w:tcPr>
            <w:tcW w:w="1076"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FD49037"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105.26</w:t>
            </w:r>
          </w:p>
        </w:tc>
        <w:tc>
          <w:tcPr>
            <w:tcW w:w="1054"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78AD7FF1"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0.6</w:t>
            </w:r>
          </w:p>
        </w:tc>
        <w:tc>
          <w:tcPr>
            <w:tcW w:w="1122"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3124B52"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0.3</w:t>
            </w:r>
          </w:p>
        </w:tc>
        <w:tc>
          <w:tcPr>
            <w:tcW w:w="1244"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FE04B8C"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63.16</w:t>
            </w:r>
          </w:p>
        </w:tc>
        <w:tc>
          <w:tcPr>
            <w:tcW w:w="1208"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ABF33FE" w14:textId="77777777" w:rsidR="00EF3D53" w:rsidRPr="000A4A98" w:rsidRDefault="00EF3D53" w:rsidP="00CB6779">
            <w:pPr>
              <w:jc w:val="right"/>
              <w:textAlignment w:val="bottom"/>
              <w:rPr>
                <w:rFonts w:ascii="Cambria" w:hAnsi="Cambria" w:cs="Times New Roman"/>
                <w:sz w:val="20"/>
                <w:szCs w:val="36"/>
              </w:rPr>
            </w:pPr>
            <w:r w:rsidRPr="000A4A98">
              <w:rPr>
                <w:rFonts w:ascii="Cambria" w:eastAsia="ヒラギノ明朝 ProN W3" w:hAnsi="Cambria" w:cs="ヒラギノ明朝 ProN W3"/>
                <w:color w:val="000000"/>
                <w:kern w:val="24"/>
                <w:sz w:val="20"/>
                <w:szCs w:val="28"/>
              </w:rPr>
              <w:t>31.58</w:t>
            </w:r>
          </w:p>
        </w:tc>
      </w:tr>
    </w:tbl>
    <w:p w14:paraId="617F724A" w14:textId="4F61085E" w:rsidR="00EF3D53" w:rsidRPr="000A4A98" w:rsidRDefault="00EF3D53" w:rsidP="00EF3D53">
      <w:pPr>
        <w:rPr>
          <w:rFonts w:ascii="Cambria" w:hAnsi="Cambria"/>
        </w:rPr>
      </w:pPr>
      <w:r w:rsidRPr="000A4A98">
        <w:rPr>
          <w:rFonts w:ascii="Cambria" w:hAnsi="Cambria"/>
        </w:rPr>
        <w:t xml:space="preserve">Source: </w:t>
      </w:r>
      <w:r w:rsidR="00713F12" w:rsidRPr="000A4A98">
        <w:rPr>
          <w:rFonts w:ascii="Cambria" w:hAnsi="Cambria"/>
        </w:rPr>
        <w:t>Mude et al.</w:t>
      </w:r>
      <w:r w:rsidRPr="000A4A98">
        <w:rPr>
          <w:rFonts w:ascii="Cambria" w:hAnsi="Cambria"/>
        </w:rPr>
        <w:t xml:space="preserve"> (</w:t>
      </w:r>
      <w:r w:rsidR="00713F12" w:rsidRPr="000A4A98">
        <w:rPr>
          <w:rFonts w:ascii="Cambria" w:hAnsi="Cambria"/>
        </w:rPr>
        <w:t>forthcoming</w:t>
      </w:r>
      <w:r w:rsidRPr="000A4A98">
        <w:rPr>
          <w:rFonts w:ascii="Cambria" w:hAnsi="Cambria"/>
        </w:rPr>
        <w:t>)</w:t>
      </w:r>
    </w:p>
    <w:p w14:paraId="71507D7C" w14:textId="77777777" w:rsidR="00EF3D53" w:rsidRDefault="00EF3D53" w:rsidP="00EF3D53">
      <w:pPr>
        <w:rPr>
          <w:rFonts w:ascii="Cambria" w:hAnsi="Cambria"/>
        </w:rPr>
      </w:pPr>
    </w:p>
    <w:p w14:paraId="3F1B3BE1" w14:textId="57353A2A" w:rsidR="00F07B83" w:rsidRDefault="00F07B83" w:rsidP="00EF3D53">
      <w:pPr>
        <w:rPr>
          <w:rFonts w:ascii="Cambria" w:hAnsi="Cambria"/>
        </w:rPr>
      </w:pPr>
      <w:r w:rsidRPr="00415152">
        <w:rPr>
          <w:rFonts w:ascii="Cambria" w:hAnsi="Cambria"/>
        </w:rPr>
        <w:t>To estimate the induced price effects in a market</w:t>
      </w:r>
      <w:r w:rsidR="00D80EED" w:rsidRPr="00415152">
        <w:rPr>
          <w:rFonts w:ascii="Cambria" w:hAnsi="Cambria"/>
        </w:rPr>
        <w:t xml:space="preserve"> due to transfers</w:t>
      </w:r>
      <w:r w:rsidRPr="00415152">
        <w:rPr>
          <w:rFonts w:ascii="Cambria" w:hAnsi="Cambria"/>
        </w:rPr>
        <w:t xml:space="preserve">, the analyst should use the aggregate transfers to households in the </w:t>
      </w:r>
      <w:proofErr w:type="spellStart"/>
      <w:r w:rsidRPr="00415152">
        <w:rPr>
          <w:rFonts w:ascii="Cambria" w:hAnsi="Cambria"/>
        </w:rPr>
        <w:t>marketshed</w:t>
      </w:r>
      <w:proofErr w:type="spellEnd"/>
      <w:r w:rsidRPr="00415152">
        <w:rPr>
          <w:rFonts w:ascii="Cambria" w:hAnsi="Cambria"/>
        </w:rPr>
        <w:t xml:space="preserve"> area so as to capture the aggregate demand effect.</w:t>
      </w:r>
      <w:r w:rsidRPr="000A4A98">
        <w:rPr>
          <w:rFonts w:ascii="Cambria" w:hAnsi="Cambria"/>
        </w:rPr>
        <w:t xml:space="preserve">  </w:t>
      </w:r>
    </w:p>
    <w:p w14:paraId="12D4F916" w14:textId="77777777" w:rsidR="00F07B83" w:rsidRPr="000A4A98" w:rsidRDefault="00F07B83" w:rsidP="00EF3D53">
      <w:pPr>
        <w:rPr>
          <w:rFonts w:ascii="Cambria" w:hAnsi="Cambria"/>
        </w:rPr>
      </w:pPr>
    </w:p>
    <w:p w14:paraId="3209C437" w14:textId="77777777" w:rsidR="007B62AB" w:rsidRDefault="0089157B" w:rsidP="00EF3D53">
      <w:pPr>
        <w:rPr>
          <w:rFonts w:ascii="Cambria" w:hAnsi="Cambria"/>
        </w:rPr>
      </w:pPr>
      <w:r>
        <w:rPr>
          <w:rFonts w:ascii="Cambria" w:hAnsi="Cambria"/>
        </w:rPr>
        <w:t>A similar</w:t>
      </w:r>
      <w:r w:rsidR="00EF3D53" w:rsidRPr="000A4A98">
        <w:rPr>
          <w:rFonts w:ascii="Cambria" w:hAnsi="Cambria"/>
        </w:rPr>
        <w:t xml:space="preserve"> technique can be applied to estimate the expected price increases in source markets due to local or regional purchases by operational agencies, using the total purchase value instead of aggregate transfer value. </w:t>
      </w:r>
    </w:p>
    <w:p w14:paraId="4AFE12BC" w14:textId="77777777" w:rsidR="007B62AB" w:rsidRDefault="007B62AB" w:rsidP="00EF3D53">
      <w:pPr>
        <w:rPr>
          <w:rFonts w:ascii="Cambria" w:hAnsi="Cambria"/>
        </w:rPr>
      </w:pPr>
    </w:p>
    <w:p w14:paraId="37EB00DF" w14:textId="5B462EAF" w:rsidR="00EF3D53" w:rsidRPr="000A4A98" w:rsidRDefault="00EF3D53" w:rsidP="00EF3D53">
      <w:pPr>
        <w:rPr>
          <w:rFonts w:ascii="Cambria" w:hAnsi="Cambria"/>
        </w:rPr>
      </w:pPr>
      <w:r w:rsidRPr="000A4A98">
        <w:rPr>
          <w:rFonts w:ascii="Cambria" w:hAnsi="Cambria"/>
        </w:rPr>
        <w:t>If the expected induced price increases are on the order of 10% or more in a market, the actions (whether LRP or cash transfers to households) are likely to harm food insecure net buyers in those markets and may be inadvisable.</w:t>
      </w:r>
    </w:p>
    <w:p w14:paraId="4D8D4A8B" w14:textId="77777777" w:rsidR="00EF3D53" w:rsidRPr="000A4A98" w:rsidRDefault="00EF3D53" w:rsidP="00EF3D53">
      <w:pPr>
        <w:rPr>
          <w:rFonts w:ascii="Cambria" w:hAnsi="Cambria"/>
        </w:rPr>
      </w:pPr>
    </w:p>
    <w:p w14:paraId="4071A70A" w14:textId="77777777" w:rsidR="00EF3D53" w:rsidRPr="00AB4E1C" w:rsidRDefault="00EF3D53" w:rsidP="00EF3D53">
      <w:pPr>
        <w:rPr>
          <w:rFonts w:ascii="Cambria" w:hAnsi="Cambria"/>
          <w:i/>
        </w:rPr>
      </w:pPr>
      <w:r w:rsidRPr="00AB4E1C">
        <w:rPr>
          <w:rFonts w:ascii="Cambria" w:hAnsi="Cambria"/>
          <w:i/>
        </w:rPr>
        <w:t>Example 2: Price elasticities</w:t>
      </w:r>
    </w:p>
    <w:p w14:paraId="6321FDBA" w14:textId="4FD8227F" w:rsidR="00EF3D53" w:rsidRDefault="00EF3D53" w:rsidP="00EF3D53">
      <w:pPr>
        <w:rPr>
          <w:rFonts w:ascii="Cambria" w:hAnsi="Cambria"/>
        </w:rPr>
      </w:pPr>
      <w:r w:rsidRPr="000A4A98">
        <w:rPr>
          <w:rFonts w:ascii="Cambria" w:hAnsi="Cambria"/>
        </w:rPr>
        <w:t>Price elasticiti</w:t>
      </w:r>
      <w:r w:rsidR="009E47EF">
        <w:rPr>
          <w:rFonts w:ascii="Cambria" w:hAnsi="Cambria"/>
        </w:rPr>
        <w:t>es can be used to estimate the e</w:t>
      </w:r>
      <w:r w:rsidRPr="000A4A98">
        <w:rPr>
          <w:rFonts w:ascii="Cambria" w:hAnsi="Cambria"/>
        </w:rPr>
        <w:t xml:space="preserve">ffect of increasing prices on consumers’ demand. Also, </w:t>
      </w:r>
      <w:r w:rsidR="00B90175">
        <w:rPr>
          <w:rFonts w:ascii="Cambria" w:hAnsi="Cambria"/>
        </w:rPr>
        <w:t>the e</w:t>
      </w:r>
      <w:r w:rsidRPr="000A4A98">
        <w:rPr>
          <w:rFonts w:ascii="Cambria" w:hAnsi="Cambria"/>
        </w:rPr>
        <w:t>ffect of increased food supply on prices</w:t>
      </w:r>
      <w:r w:rsidR="00B90175">
        <w:rPr>
          <w:rFonts w:ascii="Cambria" w:hAnsi="Cambria"/>
        </w:rPr>
        <w:t xml:space="preserve"> can be estimated using price elasticities</w:t>
      </w:r>
      <w:r w:rsidRPr="000A4A98">
        <w:rPr>
          <w:rFonts w:ascii="Cambria" w:hAnsi="Cambria"/>
        </w:rPr>
        <w:t>.</w:t>
      </w:r>
    </w:p>
    <w:p w14:paraId="64782892" w14:textId="77777777" w:rsidR="00523F2A" w:rsidRDefault="00523F2A" w:rsidP="00EF3D53">
      <w:pPr>
        <w:rPr>
          <w:rFonts w:ascii="Cambria" w:hAnsi="Cambria"/>
        </w:rPr>
      </w:pPr>
    </w:p>
    <w:p w14:paraId="375D2AB8" w14:textId="554A6315" w:rsidR="00EF3D53" w:rsidRPr="00BF6F8F" w:rsidRDefault="00EF3D53" w:rsidP="00EF3D53">
      <w:pPr>
        <w:rPr>
          <w:rFonts w:ascii="Cambria" w:hAnsi="Cambria"/>
          <w:i/>
        </w:rPr>
      </w:pPr>
      <w:r w:rsidRPr="00BF6F8F">
        <w:rPr>
          <w:rFonts w:ascii="Cambria" w:hAnsi="Cambria"/>
          <w:i/>
        </w:rPr>
        <w:t>Inverse Price Elasticity of Demand: Estimating % Change in Price due to a % Change in Supply</w:t>
      </w:r>
    </w:p>
    <w:p w14:paraId="21C8060E" w14:textId="33F7A5D7" w:rsidR="00663317" w:rsidRDefault="00F0369A" w:rsidP="00EF3D53">
      <w:pPr>
        <w:rPr>
          <w:rFonts w:ascii="Cambria" w:hAnsi="Cambria"/>
        </w:rPr>
      </w:pPr>
      <w:r>
        <w:rPr>
          <w:rFonts w:ascii="Cambria" w:hAnsi="Cambria"/>
        </w:rPr>
        <w:lastRenderedPageBreak/>
        <w:t>In this example, we</w:t>
      </w:r>
      <w:r w:rsidR="00234D24">
        <w:rPr>
          <w:rFonts w:ascii="Cambria" w:hAnsi="Cambria"/>
        </w:rPr>
        <w:t xml:space="preserve"> estimate the impact on prices of food aid delivered to a market. We</w:t>
      </w:r>
      <w:r>
        <w:rPr>
          <w:rFonts w:ascii="Cambria" w:hAnsi="Cambria"/>
        </w:rPr>
        <w:t xml:space="preserve"> consider two scenarios, using</w:t>
      </w:r>
      <w:r w:rsidR="00FB0CD3">
        <w:rPr>
          <w:rFonts w:ascii="Cambria" w:hAnsi="Cambria"/>
        </w:rPr>
        <w:t xml:space="preserve"> the inverses of</w:t>
      </w:r>
      <w:r>
        <w:rPr>
          <w:rFonts w:ascii="Cambria" w:hAnsi="Cambria"/>
        </w:rPr>
        <w:t xml:space="preserve"> less elastic and more elastic price elasticities of demand.</w:t>
      </w:r>
      <w:r w:rsidR="00790CF4">
        <w:rPr>
          <w:rFonts w:ascii="Cambria" w:hAnsi="Cambria"/>
        </w:rPr>
        <w:t xml:space="preserve"> </w:t>
      </w:r>
      <w:r w:rsidR="00FB0CD3">
        <w:rPr>
          <w:rFonts w:ascii="Cambria" w:hAnsi="Cambria"/>
        </w:rPr>
        <w:t xml:space="preserve"> </w:t>
      </w:r>
      <w:r w:rsidR="00154EA0" w:rsidRPr="000A4A98">
        <w:rPr>
          <w:rFonts w:ascii="Cambria" w:hAnsi="Cambria"/>
        </w:rPr>
        <w:t>Less elastic price elasticities of demand are closer to zero</w:t>
      </w:r>
      <w:r w:rsidR="00154EA0">
        <w:rPr>
          <w:rFonts w:ascii="Cambria" w:hAnsi="Cambria"/>
        </w:rPr>
        <w:t xml:space="preserve"> and indicate that a small change in prices will not lead to a large change in demand. A low price elasticity of demand is common when there are few substitutable products. </w:t>
      </w:r>
      <w:r w:rsidR="00FB0CD3">
        <w:rPr>
          <w:rFonts w:ascii="Cambria" w:hAnsi="Cambria"/>
        </w:rPr>
        <w:t>The price elasticities are given and the inverses are</w:t>
      </w:r>
      <w:r w:rsidR="00FB0CD3" w:rsidRPr="000A4A98">
        <w:rPr>
          <w:rFonts w:ascii="Cambria" w:hAnsi="Cambria"/>
        </w:rPr>
        <w:t xml:space="preserve"> the reciprocal value</w:t>
      </w:r>
      <w:r w:rsidR="00FB0CD3">
        <w:rPr>
          <w:rFonts w:ascii="Cambria" w:hAnsi="Cambria"/>
        </w:rPr>
        <w:t>s</w:t>
      </w:r>
      <w:r w:rsidR="00FB0CD3" w:rsidRPr="000A4A98">
        <w:rPr>
          <w:rFonts w:ascii="Cambria" w:hAnsi="Cambria"/>
        </w:rPr>
        <w:t xml:space="preserve">. </w:t>
      </w:r>
      <w:r w:rsidR="00154EA0">
        <w:rPr>
          <w:rFonts w:ascii="Cambria" w:hAnsi="Cambria"/>
        </w:rPr>
        <w:t xml:space="preserve">Using the </w:t>
      </w:r>
      <w:r w:rsidR="000F4056">
        <w:rPr>
          <w:rFonts w:ascii="Cambria" w:hAnsi="Cambria"/>
        </w:rPr>
        <w:t xml:space="preserve">inverse of </w:t>
      </w:r>
      <w:r w:rsidR="00154EA0">
        <w:rPr>
          <w:rFonts w:ascii="Cambria" w:hAnsi="Cambria"/>
        </w:rPr>
        <w:t>price elasticity of demand, we estimate the amount prices would have to change for a fixed increase in supply.</w:t>
      </w:r>
    </w:p>
    <w:p w14:paraId="5E26E691" w14:textId="77777777" w:rsidR="00234D24" w:rsidRDefault="00234D24" w:rsidP="00EF3D53">
      <w:pPr>
        <w:rPr>
          <w:rFonts w:ascii="Cambria" w:hAnsi="Cambria"/>
        </w:rPr>
      </w:pPr>
    </w:p>
    <w:p w14:paraId="59459980" w14:textId="122E517E" w:rsidR="00234D24" w:rsidRPr="000A4A98" w:rsidRDefault="00234D24" w:rsidP="00234D24">
      <w:pPr>
        <w:rPr>
          <w:rFonts w:ascii="Cambria" w:hAnsi="Cambria"/>
        </w:rPr>
      </w:pPr>
      <w:r w:rsidRPr="000A4A98">
        <w:rPr>
          <w:rFonts w:ascii="Cambria" w:hAnsi="Cambria"/>
        </w:rPr>
        <w:t>Based on a needs assessment, the estimated volume of food aid is 25 metric tons, while the estimated amount of food supplied by the market used by targeted recipients is 500 metric tons</w:t>
      </w:r>
      <w:r w:rsidR="00EF1BC9">
        <w:rPr>
          <w:rFonts w:ascii="Cambria" w:hAnsi="Cambria"/>
        </w:rPr>
        <w:t xml:space="preserve"> (we discuss how to estimate the total volume in the </w:t>
      </w:r>
      <w:proofErr w:type="spellStart"/>
      <w:r w:rsidR="00EF1BC9">
        <w:rPr>
          <w:rFonts w:ascii="Cambria" w:hAnsi="Cambria"/>
        </w:rPr>
        <w:t>marketshed</w:t>
      </w:r>
      <w:proofErr w:type="spellEnd"/>
      <w:r w:rsidR="00EF1BC9">
        <w:rPr>
          <w:rFonts w:ascii="Cambria" w:hAnsi="Cambria"/>
        </w:rPr>
        <w:t xml:space="preserve"> separately)</w:t>
      </w:r>
      <w:r w:rsidRPr="000A4A98">
        <w:rPr>
          <w:rFonts w:ascii="Cambria" w:hAnsi="Cambria"/>
        </w:rPr>
        <w:t>. By multiplying the inverse</w:t>
      </w:r>
      <w:r w:rsidR="004C444D">
        <w:rPr>
          <w:rFonts w:ascii="Cambria" w:hAnsi="Cambria"/>
        </w:rPr>
        <w:t xml:space="preserve"> of the less elastic</w:t>
      </w:r>
      <w:r w:rsidRPr="000A4A98">
        <w:rPr>
          <w:rFonts w:ascii="Cambria" w:hAnsi="Cambria"/>
        </w:rPr>
        <w:t xml:space="preserve"> price elasticity by the percent of supply expansion, we find that prices are expected to fall by 20%.</w:t>
      </w:r>
      <w:r w:rsidR="004C444D">
        <w:rPr>
          <w:rFonts w:ascii="Cambria" w:hAnsi="Cambria"/>
        </w:rPr>
        <w:t xml:space="preserve"> However, in the case of the inverse of the more elastic price elasticity of demand, we find that prices only fall by 6.25% for the same delivery.</w:t>
      </w:r>
    </w:p>
    <w:p w14:paraId="5E1EA86D" w14:textId="77777777" w:rsidR="00234D24" w:rsidRPr="000A4A98" w:rsidRDefault="00234D24" w:rsidP="00234D24">
      <w:pPr>
        <w:rPr>
          <w:rFonts w:ascii="Cambria" w:hAnsi="Cambria"/>
        </w:rPr>
      </w:pPr>
    </w:p>
    <w:p w14:paraId="59305123" w14:textId="77777777" w:rsidR="00234D24" w:rsidRPr="000A4A98" w:rsidRDefault="00234D24" w:rsidP="00234D24">
      <w:pPr>
        <w:rPr>
          <w:rFonts w:ascii="Cambria" w:hAnsi="Cambria"/>
        </w:rPr>
      </w:pPr>
      <w:r w:rsidRPr="000A4A98">
        <w:rPr>
          <w:rFonts w:ascii="Cambria" w:hAnsi="Cambria"/>
        </w:rPr>
        <w:t>Inverse price elasticity * percent change in supply = percent change in price</w:t>
      </w:r>
    </w:p>
    <w:p w14:paraId="2DA58901" w14:textId="77777777" w:rsidR="00234D24" w:rsidRPr="000A4A98" w:rsidRDefault="00234D24" w:rsidP="00234D24">
      <w:pPr>
        <w:rPr>
          <w:rFonts w:ascii="Cambria" w:hAnsi="Cambria"/>
        </w:rPr>
      </w:pPr>
    </w:p>
    <w:p w14:paraId="4285A44F" w14:textId="77777777" w:rsidR="00234D24" w:rsidRPr="000A4A98" w:rsidRDefault="00234D24" w:rsidP="00234D24">
      <w:pPr>
        <w:rPr>
          <w:rFonts w:ascii="Cambria" w:hAnsi="Cambria"/>
        </w:rPr>
      </w:pPr>
      <w:r w:rsidRPr="000A4A98">
        <w:rPr>
          <w:rFonts w:ascii="Cambria" w:hAnsi="Cambria"/>
        </w:rPr>
        <w:t xml:space="preserve">-4.00*5% = x = -20%  </w:t>
      </w:r>
    </w:p>
    <w:p w14:paraId="75F1B775" w14:textId="77777777" w:rsidR="003475A9" w:rsidRPr="000A4A98" w:rsidRDefault="003475A9" w:rsidP="00EF3D53">
      <w:pPr>
        <w:rPr>
          <w:rFonts w:ascii="Cambria" w:hAnsi="Cambria"/>
        </w:rPr>
      </w:pPr>
    </w:p>
    <w:tbl>
      <w:tblPr>
        <w:tblW w:w="8819" w:type="dxa"/>
        <w:tblInd w:w="-10" w:type="dxa"/>
        <w:tblCellMar>
          <w:left w:w="0" w:type="dxa"/>
          <w:right w:w="0" w:type="dxa"/>
        </w:tblCellMar>
        <w:tblLook w:val="0000" w:firstRow="0" w:lastRow="0" w:firstColumn="0" w:lastColumn="0" w:noHBand="0" w:noVBand="0"/>
      </w:tblPr>
      <w:tblGrid>
        <w:gridCol w:w="1105"/>
        <w:gridCol w:w="5386"/>
        <w:gridCol w:w="1164"/>
        <w:gridCol w:w="1164"/>
      </w:tblGrid>
      <w:tr w:rsidR="00E27AE4" w:rsidRPr="000A4A98" w14:paraId="55650440" w14:textId="77777777" w:rsidTr="00E656F1">
        <w:trPr>
          <w:trHeight w:val="356"/>
        </w:trPr>
        <w:tc>
          <w:tcPr>
            <w:tcW w:w="1105"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2A9C89FB" w14:textId="70262C1F" w:rsidR="00E27AE4" w:rsidRPr="000A4A98" w:rsidRDefault="00E27AE4" w:rsidP="00FE1755">
            <w:pPr>
              <w:rPr>
                <w:rFonts w:ascii="Cambria" w:hAnsi="Cambria"/>
                <w:sz w:val="22"/>
                <w:szCs w:val="22"/>
              </w:rPr>
            </w:pPr>
          </w:p>
        </w:tc>
        <w:tc>
          <w:tcPr>
            <w:tcW w:w="5386"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526634D4" w14:textId="24BC8AD1" w:rsidR="00E27AE4" w:rsidRPr="000A4A98" w:rsidRDefault="00E27AE4" w:rsidP="00FE1755">
            <w:pPr>
              <w:rPr>
                <w:rFonts w:ascii="Cambria" w:hAnsi="Cambria"/>
                <w:sz w:val="22"/>
                <w:szCs w:val="22"/>
              </w:rPr>
            </w:pPr>
          </w:p>
        </w:tc>
        <w:tc>
          <w:tcPr>
            <w:tcW w:w="1164"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36059045" w14:textId="6565379B" w:rsidR="00E27AE4" w:rsidRPr="000A4A98" w:rsidRDefault="00F0369A" w:rsidP="00FE1755">
            <w:pPr>
              <w:rPr>
                <w:rFonts w:ascii="Cambria" w:hAnsi="Cambria"/>
                <w:sz w:val="22"/>
                <w:szCs w:val="22"/>
              </w:rPr>
            </w:pPr>
            <w:r>
              <w:rPr>
                <w:rFonts w:ascii="Cambria" w:hAnsi="Cambria"/>
                <w:sz w:val="22"/>
                <w:szCs w:val="22"/>
              </w:rPr>
              <w:t xml:space="preserve">Less </w:t>
            </w:r>
            <w:r w:rsidR="00E27AE4" w:rsidRPr="000A4A98">
              <w:rPr>
                <w:rFonts w:ascii="Cambria" w:hAnsi="Cambria"/>
                <w:sz w:val="22"/>
                <w:szCs w:val="22"/>
              </w:rPr>
              <w:t>elastic</w:t>
            </w:r>
          </w:p>
        </w:tc>
        <w:tc>
          <w:tcPr>
            <w:tcW w:w="1164"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0E7C6616" w14:textId="7BF81B47" w:rsidR="00E27AE4" w:rsidRPr="000A4A98" w:rsidRDefault="00E27AE4" w:rsidP="00FE1755">
            <w:pPr>
              <w:rPr>
                <w:rFonts w:ascii="Cambria" w:hAnsi="Cambria"/>
                <w:sz w:val="22"/>
                <w:szCs w:val="22"/>
              </w:rPr>
            </w:pPr>
            <w:r w:rsidRPr="000A4A98">
              <w:rPr>
                <w:rFonts w:ascii="Cambria" w:hAnsi="Cambria"/>
                <w:sz w:val="22"/>
                <w:szCs w:val="22"/>
              </w:rPr>
              <w:t>More elastic</w:t>
            </w:r>
          </w:p>
        </w:tc>
      </w:tr>
      <w:tr w:rsidR="00E27AE4" w:rsidRPr="000A4A98" w14:paraId="6E6D6F71" w14:textId="705AC7EF" w:rsidTr="00E656F1">
        <w:trPr>
          <w:trHeight w:val="356"/>
        </w:trPr>
        <w:tc>
          <w:tcPr>
            <w:tcW w:w="1105"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71D39C49" w14:textId="2D8EBC3E" w:rsidR="00E27AE4" w:rsidRPr="000A4A98" w:rsidRDefault="00E27AE4" w:rsidP="00CB6779">
            <w:pPr>
              <w:rPr>
                <w:rFonts w:ascii="Cambria" w:hAnsi="Cambria"/>
                <w:sz w:val="22"/>
                <w:szCs w:val="22"/>
              </w:rPr>
            </w:pPr>
            <w:r w:rsidRPr="000A4A98">
              <w:rPr>
                <w:rFonts w:ascii="Cambria" w:hAnsi="Cambria"/>
                <w:sz w:val="22"/>
                <w:szCs w:val="22"/>
              </w:rPr>
              <w:t>A</w:t>
            </w:r>
          </w:p>
        </w:tc>
        <w:tc>
          <w:tcPr>
            <w:tcW w:w="5386"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0C3CA7B8" w14:textId="566DCB6B" w:rsidR="00E27AE4" w:rsidRPr="000A4A98" w:rsidRDefault="00663317" w:rsidP="00663317">
            <w:pPr>
              <w:rPr>
                <w:rFonts w:ascii="Cambria" w:hAnsi="Cambria"/>
                <w:sz w:val="22"/>
                <w:szCs w:val="22"/>
              </w:rPr>
            </w:pPr>
            <w:r w:rsidRPr="000A4A98">
              <w:rPr>
                <w:rFonts w:ascii="Cambria" w:hAnsi="Cambria"/>
                <w:sz w:val="22"/>
                <w:szCs w:val="22"/>
              </w:rPr>
              <w:t>Price elasticity of demand</w:t>
            </w:r>
          </w:p>
        </w:tc>
        <w:tc>
          <w:tcPr>
            <w:tcW w:w="1164"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0DFAED47" w14:textId="77777777" w:rsidR="00E27AE4" w:rsidRPr="000A4A98" w:rsidRDefault="00E27AE4" w:rsidP="00CB6779">
            <w:pPr>
              <w:rPr>
                <w:rFonts w:ascii="Cambria" w:hAnsi="Cambria"/>
                <w:sz w:val="22"/>
                <w:szCs w:val="22"/>
              </w:rPr>
            </w:pPr>
            <w:r w:rsidRPr="000A4A98">
              <w:rPr>
                <w:rFonts w:ascii="Cambria" w:hAnsi="Cambria"/>
                <w:sz w:val="22"/>
                <w:szCs w:val="22"/>
              </w:rPr>
              <w:t>-0.25</w:t>
            </w:r>
          </w:p>
        </w:tc>
        <w:tc>
          <w:tcPr>
            <w:tcW w:w="1164"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65B506BF" w14:textId="4522ED41" w:rsidR="00E27AE4" w:rsidRPr="000A4A98" w:rsidRDefault="00E656F1" w:rsidP="00CB6779">
            <w:pPr>
              <w:rPr>
                <w:rFonts w:ascii="Cambria" w:hAnsi="Cambria"/>
                <w:sz w:val="22"/>
                <w:szCs w:val="22"/>
              </w:rPr>
            </w:pPr>
            <w:r w:rsidRPr="000A4A98">
              <w:rPr>
                <w:rFonts w:ascii="Cambria" w:hAnsi="Cambria"/>
                <w:sz w:val="22"/>
                <w:szCs w:val="22"/>
              </w:rPr>
              <w:t>-0.</w:t>
            </w:r>
            <w:r w:rsidR="00663317" w:rsidRPr="000A4A98">
              <w:rPr>
                <w:rFonts w:ascii="Cambria" w:hAnsi="Cambria"/>
                <w:sz w:val="22"/>
                <w:szCs w:val="22"/>
              </w:rPr>
              <w:t>8</w:t>
            </w:r>
            <w:r w:rsidRPr="000A4A98">
              <w:rPr>
                <w:rFonts w:ascii="Cambria" w:hAnsi="Cambria"/>
                <w:sz w:val="22"/>
                <w:szCs w:val="22"/>
              </w:rPr>
              <w:t>0</w:t>
            </w:r>
          </w:p>
        </w:tc>
      </w:tr>
      <w:tr w:rsidR="00E27AE4" w:rsidRPr="000A4A98" w14:paraId="1EA0C2AA" w14:textId="6CD0AF04" w:rsidTr="00E656F1">
        <w:trPr>
          <w:trHeight w:val="374"/>
        </w:trPr>
        <w:tc>
          <w:tcPr>
            <w:tcW w:w="1105"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7C53A7D1" w14:textId="57D85F81" w:rsidR="00E27AE4" w:rsidRPr="000A4A98" w:rsidRDefault="00E27AE4" w:rsidP="00CB6779">
            <w:pPr>
              <w:rPr>
                <w:rFonts w:ascii="Cambria" w:hAnsi="Cambria"/>
                <w:sz w:val="22"/>
                <w:szCs w:val="22"/>
              </w:rPr>
            </w:pPr>
            <w:r w:rsidRPr="000A4A98">
              <w:rPr>
                <w:rFonts w:ascii="Cambria" w:hAnsi="Cambria"/>
                <w:sz w:val="22"/>
                <w:szCs w:val="22"/>
              </w:rPr>
              <w:t>B</w:t>
            </w:r>
          </w:p>
        </w:tc>
        <w:tc>
          <w:tcPr>
            <w:tcW w:w="5386"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77593A28" w14:textId="4D219EA3" w:rsidR="00E27AE4" w:rsidRPr="000A4A98" w:rsidRDefault="00E27AE4" w:rsidP="00663317">
            <w:pPr>
              <w:rPr>
                <w:rFonts w:ascii="Cambria" w:hAnsi="Cambria"/>
                <w:sz w:val="22"/>
                <w:szCs w:val="22"/>
              </w:rPr>
            </w:pPr>
            <w:r w:rsidRPr="000A4A98">
              <w:rPr>
                <w:rFonts w:ascii="Cambria" w:hAnsi="Cambria"/>
                <w:sz w:val="22"/>
                <w:szCs w:val="22"/>
              </w:rPr>
              <w:t>Inverse price elasticity of demand</w:t>
            </w:r>
          </w:p>
        </w:tc>
        <w:tc>
          <w:tcPr>
            <w:tcW w:w="1164"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35191754" w14:textId="77777777" w:rsidR="00E27AE4" w:rsidRPr="000A4A98" w:rsidRDefault="00E27AE4" w:rsidP="00CB6779">
            <w:pPr>
              <w:rPr>
                <w:rFonts w:ascii="Cambria" w:hAnsi="Cambria"/>
                <w:sz w:val="22"/>
                <w:szCs w:val="22"/>
              </w:rPr>
            </w:pPr>
            <w:r w:rsidRPr="000A4A98">
              <w:rPr>
                <w:rFonts w:ascii="Cambria" w:hAnsi="Cambria"/>
                <w:sz w:val="22"/>
                <w:szCs w:val="22"/>
              </w:rPr>
              <w:t>-4.00</w:t>
            </w:r>
          </w:p>
        </w:tc>
        <w:tc>
          <w:tcPr>
            <w:tcW w:w="1164"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1CD7204B" w14:textId="5CBAECAF" w:rsidR="00E27AE4" w:rsidRPr="000A4A98" w:rsidRDefault="00663317" w:rsidP="00CB6779">
            <w:pPr>
              <w:rPr>
                <w:rFonts w:ascii="Cambria" w:hAnsi="Cambria"/>
                <w:sz w:val="22"/>
                <w:szCs w:val="22"/>
              </w:rPr>
            </w:pPr>
            <w:r w:rsidRPr="000A4A98">
              <w:rPr>
                <w:rFonts w:ascii="Cambria" w:hAnsi="Cambria"/>
                <w:sz w:val="22"/>
                <w:szCs w:val="22"/>
              </w:rPr>
              <w:t>-1.25</w:t>
            </w:r>
          </w:p>
        </w:tc>
      </w:tr>
      <w:tr w:rsidR="00E27AE4" w:rsidRPr="000A4A98" w14:paraId="6F9CF4DB" w14:textId="03FEB032" w:rsidTr="00E656F1">
        <w:trPr>
          <w:trHeight w:val="374"/>
        </w:trPr>
        <w:tc>
          <w:tcPr>
            <w:tcW w:w="1105"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07A9C8CE" w14:textId="22D4AE8F" w:rsidR="00E27AE4" w:rsidRPr="000A4A98" w:rsidRDefault="00E27AE4" w:rsidP="00CB6779">
            <w:pPr>
              <w:rPr>
                <w:rFonts w:ascii="Cambria" w:hAnsi="Cambria"/>
                <w:sz w:val="22"/>
                <w:szCs w:val="22"/>
              </w:rPr>
            </w:pPr>
            <w:r w:rsidRPr="000A4A98">
              <w:rPr>
                <w:rFonts w:ascii="Cambria" w:hAnsi="Cambria"/>
                <w:sz w:val="22"/>
                <w:szCs w:val="22"/>
              </w:rPr>
              <w:t>C</w:t>
            </w:r>
          </w:p>
        </w:tc>
        <w:tc>
          <w:tcPr>
            <w:tcW w:w="5386"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1858C2BC" w14:textId="7CD29245" w:rsidR="00E27AE4" w:rsidRPr="000A4A98" w:rsidRDefault="00E27AE4" w:rsidP="00CB6779">
            <w:pPr>
              <w:rPr>
                <w:rFonts w:ascii="Cambria" w:hAnsi="Cambria"/>
                <w:sz w:val="22"/>
                <w:szCs w:val="22"/>
              </w:rPr>
            </w:pPr>
            <w:r w:rsidRPr="000A4A98">
              <w:rPr>
                <w:rFonts w:ascii="Cambria" w:hAnsi="Cambria"/>
                <w:sz w:val="22"/>
                <w:szCs w:val="22"/>
              </w:rPr>
              <w:t>Estimated</w:t>
            </w:r>
            <w:r w:rsidR="00E656F1" w:rsidRPr="000A4A98">
              <w:rPr>
                <w:rFonts w:ascii="Cambria" w:hAnsi="Cambria"/>
                <w:sz w:val="22"/>
                <w:szCs w:val="22"/>
              </w:rPr>
              <w:t xml:space="preserve"> tons of food aid delivered</w:t>
            </w:r>
            <w:r w:rsidRPr="000A4A98">
              <w:rPr>
                <w:rFonts w:ascii="Cambria" w:hAnsi="Cambria"/>
                <w:sz w:val="22"/>
                <w:szCs w:val="22"/>
              </w:rPr>
              <w:t xml:space="preserve"> (i.e., addition to local supply)</w:t>
            </w:r>
          </w:p>
        </w:tc>
        <w:tc>
          <w:tcPr>
            <w:tcW w:w="1164"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20336B02" w14:textId="505AD1A3" w:rsidR="00E27AE4" w:rsidRPr="000A4A98" w:rsidRDefault="00E656F1" w:rsidP="00CB6779">
            <w:pPr>
              <w:rPr>
                <w:rFonts w:ascii="Cambria" w:hAnsi="Cambria"/>
                <w:sz w:val="22"/>
                <w:szCs w:val="22"/>
              </w:rPr>
            </w:pPr>
            <w:r w:rsidRPr="000A4A98">
              <w:rPr>
                <w:rFonts w:ascii="Cambria" w:hAnsi="Cambria"/>
                <w:sz w:val="22"/>
                <w:szCs w:val="22"/>
              </w:rPr>
              <w:t>25</w:t>
            </w:r>
          </w:p>
        </w:tc>
        <w:tc>
          <w:tcPr>
            <w:tcW w:w="1164"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5CBA2490" w14:textId="211808CC" w:rsidR="00E27AE4" w:rsidRPr="000A4A98" w:rsidRDefault="00E27AE4" w:rsidP="00CB6779">
            <w:pPr>
              <w:rPr>
                <w:rFonts w:ascii="Cambria" w:hAnsi="Cambria"/>
                <w:sz w:val="22"/>
                <w:szCs w:val="22"/>
              </w:rPr>
            </w:pPr>
            <w:r w:rsidRPr="000A4A98">
              <w:rPr>
                <w:rFonts w:ascii="Cambria" w:hAnsi="Cambria"/>
                <w:sz w:val="22"/>
                <w:szCs w:val="22"/>
              </w:rPr>
              <w:t>25</w:t>
            </w:r>
          </w:p>
        </w:tc>
      </w:tr>
      <w:tr w:rsidR="00E27AE4" w:rsidRPr="000A4A98" w14:paraId="33A3A229" w14:textId="6C197D34" w:rsidTr="00E656F1">
        <w:trPr>
          <w:trHeight w:val="374"/>
        </w:trPr>
        <w:tc>
          <w:tcPr>
            <w:tcW w:w="1105"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06AE7F51" w14:textId="54395D7E" w:rsidR="00E27AE4" w:rsidRPr="000A4A98" w:rsidRDefault="00E27AE4" w:rsidP="00CB6779">
            <w:pPr>
              <w:rPr>
                <w:rFonts w:ascii="Cambria" w:hAnsi="Cambria"/>
                <w:sz w:val="22"/>
                <w:szCs w:val="22"/>
              </w:rPr>
            </w:pPr>
            <w:r w:rsidRPr="000A4A98">
              <w:rPr>
                <w:rFonts w:ascii="Cambria" w:hAnsi="Cambria"/>
                <w:sz w:val="22"/>
                <w:szCs w:val="22"/>
              </w:rPr>
              <w:t>D</w:t>
            </w:r>
          </w:p>
        </w:tc>
        <w:tc>
          <w:tcPr>
            <w:tcW w:w="5386"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736A5A2F" w14:textId="17893B24" w:rsidR="00E27AE4" w:rsidRPr="000A4A98" w:rsidRDefault="00E27AE4" w:rsidP="00CB6779">
            <w:pPr>
              <w:rPr>
                <w:rFonts w:ascii="Cambria" w:hAnsi="Cambria"/>
                <w:sz w:val="22"/>
                <w:szCs w:val="22"/>
              </w:rPr>
            </w:pPr>
            <w:r w:rsidRPr="000A4A98">
              <w:rPr>
                <w:rFonts w:ascii="Cambria" w:hAnsi="Cambria"/>
                <w:sz w:val="22"/>
                <w:szCs w:val="22"/>
              </w:rPr>
              <w:t>Estimated market supply pre-delivery</w:t>
            </w:r>
          </w:p>
        </w:tc>
        <w:tc>
          <w:tcPr>
            <w:tcW w:w="1164"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5212BB2E" w14:textId="0A26FD5B" w:rsidR="00E27AE4" w:rsidRPr="000A4A98" w:rsidRDefault="009F5860" w:rsidP="00CB6779">
            <w:pPr>
              <w:rPr>
                <w:rFonts w:ascii="Cambria" w:hAnsi="Cambria"/>
                <w:sz w:val="22"/>
                <w:szCs w:val="22"/>
              </w:rPr>
            </w:pPr>
            <w:r w:rsidRPr="000A4A98">
              <w:rPr>
                <w:rFonts w:ascii="Cambria" w:hAnsi="Cambria"/>
                <w:sz w:val="22"/>
                <w:szCs w:val="22"/>
              </w:rPr>
              <w:t>500</w:t>
            </w:r>
          </w:p>
        </w:tc>
        <w:tc>
          <w:tcPr>
            <w:tcW w:w="1164"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28E52C61" w14:textId="230E2F6B" w:rsidR="00E27AE4" w:rsidRPr="000A4A98" w:rsidRDefault="009F5860" w:rsidP="00CB6779">
            <w:pPr>
              <w:rPr>
                <w:rFonts w:ascii="Cambria" w:hAnsi="Cambria"/>
                <w:sz w:val="22"/>
                <w:szCs w:val="22"/>
              </w:rPr>
            </w:pPr>
            <w:r w:rsidRPr="000A4A98">
              <w:rPr>
                <w:rFonts w:ascii="Cambria" w:hAnsi="Cambria"/>
                <w:sz w:val="22"/>
                <w:szCs w:val="22"/>
              </w:rPr>
              <w:t>500</w:t>
            </w:r>
          </w:p>
        </w:tc>
      </w:tr>
      <w:tr w:rsidR="00E27AE4" w:rsidRPr="000A4A98" w14:paraId="69DD2888" w14:textId="7AE43BB5" w:rsidTr="00E656F1">
        <w:trPr>
          <w:trHeight w:val="410"/>
        </w:trPr>
        <w:tc>
          <w:tcPr>
            <w:tcW w:w="1105"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75A15164" w14:textId="38157F4A" w:rsidR="00E27AE4" w:rsidRPr="000A4A98" w:rsidRDefault="00E27AE4" w:rsidP="00CB6779">
            <w:pPr>
              <w:rPr>
                <w:rFonts w:ascii="Cambria" w:hAnsi="Cambria"/>
                <w:sz w:val="22"/>
                <w:szCs w:val="22"/>
              </w:rPr>
            </w:pPr>
            <w:r w:rsidRPr="000A4A98">
              <w:rPr>
                <w:rFonts w:ascii="Cambria" w:hAnsi="Cambria"/>
                <w:sz w:val="22"/>
                <w:szCs w:val="22"/>
              </w:rPr>
              <w:t>E=C/D*100</w:t>
            </w:r>
          </w:p>
        </w:tc>
        <w:tc>
          <w:tcPr>
            <w:tcW w:w="5386"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2790DF8E" w14:textId="21E09E3E" w:rsidR="00E27AE4" w:rsidRPr="000A4A98" w:rsidRDefault="00E766C2" w:rsidP="00CB6779">
            <w:pPr>
              <w:rPr>
                <w:rFonts w:ascii="Cambria" w:hAnsi="Cambria"/>
                <w:sz w:val="22"/>
                <w:szCs w:val="22"/>
              </w:rPr>
            </w:pPr>
            <w:r w:rsidRPr="000A4A98">
              <w:rPr>
                <w:rFonts w:ascii="Cambria" w:hAnsi="Cambria"/>
                <w:sz w:val="22"/>
                <w:szCs w:val="22"/>
              </w:rPr>
              <w:t xml:space="preserve">% </w:t>
            </w:r>
            <w:r w:rsidR="00E27AE4" w:rsidRPr="000A4A98">
              <w:rPr>
                <w:rFonts w:ascii="Cambria" w:hAnsi="Cambria"/>
                <w:sz w:val="22"/>
                <w:szCs w:val="22"/>
              </w:rPr>
              <w:t>of supply expansion due to food aid deliveries</w:t>
            </w:r>
          </w:p>
        </w:tc>
        <w:tc>
          <w:tcPr>
            <w:tcW w:w="1164" w:type="dxa"/>
            <w:tcBorders>
              <w:top w:val="single" w:sz="8" w:space="0" w:color="BBE0E3"/>
              <w:left w:val="single" w:sz="8" w:space="0" w:color="BBE0E3"/>
              <w:bottom w:val="single" w:sz="8" w:space="0" w:color="BBE0E3"/>
              <w:right w:val="single" w:sz="8" w:space="0" w:color="BBE0E3"/>
            </w:tcBorders>
            <w:shd w:val="clear" w:color="auto" w:fill="F3F9FA"/>
            <w:tcMar>
              <w:top w:w="20" w:type="dxa"/>
              <w:left w:w="20" w:type="dxa"/>
              <w:bottom w:w="0" w:type="dxa"/>
              <w:right w:w="20" w:type="dxa"/>
            </w:tcMar>
            <w:vAlign w:val="bottom"/>
          </w:tcPr>
          <w:p w14:paraId="7BDD0A32" w14:textId="4811BD76" w:rsidR="00E27AE4" w:rsidRPr="000A4A98" w:rsidRDefault="00E27AE4" w:rsidP="00CB6779">
            <w:pPr>
              <w:rPr>
                <w:rFonts w:ascii="Cambria" w:hAnsi="Cambria"/>
                <w:sz w:val="22"/>
                <w:szCs w:val="22"/>
              </w:rPr>
            </w:pPr>
            <w:r w:rsidRPr="000A4A98">
              <w:rPr>
                <w:rFonts w:ascii="Cambria" w:hAnsi="Cambria"/>
                <w:sz w:val="22"/>
                <w:szCs w:val="22"/>
              </w:rPr>
              <w:t>5</w:t>
            </w:r>
            <w:r w:rsidR="009F5860" w:rsidRPr="000A4A98">
              <w:rPr>
                <w:rFonts w:ascii="Cambria" w:hAnsi="Cambria"/>
                <w:sz w:val="22"/>
                <w:szCs w:val="22"/>
              </w:rPr>
              <w:t>%</w:t>
            </w:r>
          </w:p>
        </w:tc>
        <w:tc>
          <w:tcPr>
            <w:tcW w:w="1164" w:type="dxa"/>
            <w:tcBorders>
              <w:top w:val="single" w:sz="8" w:space="0" w:color="BBE0E3"/>
              <w:left w:val="single" w:sz="8" w:space="0" w:color="BBE0E3"/>
              <w:bottom w:val="single" w:sz="8" w:space="0" w:color="BBE0E3"/>
              <w:right w:val="single" w:sz="8" w:space="0" w:color="BBE0E3"/>
            </w:tcBorders>
            <w:shd w:val="clear" w:color="auto" w:fill="F3F9FA"/>
            <w:vAlign w:val="bottom"/>
          </w:tcPr>
          <w:p w14:paraId="20D390FB" w14:textId="77A24B36" w:rsidR="00E27AE4" w:rsidRPr="000A4A98" w:rsidRDefault="00E27AE4" w:rsidP="00CB6779">
            <w:pPr>
              <w:rPr>
                <w:rFonts w:ascii="Cambria" w:hAnsi="Cambria"/>
                <w:sz w:val="22"/>
                <w:szCs w:val="22"/>
              </w:rPr>
            </w:pPr>
            <w:r w:rsidRPr="000A4A98">
              <w:rPr>
                <w:rFonts w:ascii="Cambria" w:hAnsi="Cambria"/>
                <w:sz w:val="22"/>
                <w:szCs w:val="22"/>
              </w:rPr>
              <w:t>5</w:t>
            </w:r>
            <w:r w:rsidR="00E766C2" w:rsidRPr="000A4A98">
              <w:rPr>
                <w:rFonts w:ascii="Cambria" w:hAnsi="Cambria"/>
                <w:sz w:val="22"/>
                <w:szCs w:val="22"/>
              </w:rPr>
              <w:t>%</w:t>
            </w:r>
          </w:p>
        </w:tc>
      </w:tr>
      <w:tr w:rsidR="00E27AE4" w:rsidRPr="000A4A98" w14:paraId="25C0738A" w14:textId="6F6DBB55" w:rsidTr="00E656F1">
        <w:trPr>
          <w:trHeight w:val="320"/>
        </w:trPr>
        <w:tc>
          <w:tcPr>
            <w:tcW w:w="1105"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7D0170FB" w14:textId="74171C55" w:rsidR="00E27AE4" w:rsidRPr="000A4A98" w:rsidRDefault="00E27AE4" w:rsidP="00CB6779">
            <w:pPr>
              <w:rPr>
                <w:rFonts w:ascii="Cambria" w:hAnsi="Cambria"/>
                <w:sz w:val="22"/>
                <w:szCs w:val="22"/>
              </w:rPr>
            </w:pPr>
            <w:r w:rsidRPr="000A4A98">
              <w:rPr>
                <w:rFonts w:ascii="Cambria" w:hAnsi="Cambria"/>
                <w:sz w:val="22"/>
                <w:szCs w:val="22"/>
              </w:rPr>
              <w:t>F=B*E</w:t>
            </w:r>
          </w:p>
        </w:tc>
        <w:tc>
          <w:tcPr>
            <w:tcW w:w="5386"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6468D9B9" w14:textId="090D3FA7" w:rsidR="00E27AE4" w:rsidRPr="000A4A98" w:rsidRDefault="00E27AE4" w:rsidP="00E766C2">
            <w:pPr>
              <w:rPr>
                <w:rFonts w:ascii="Cambria" w:hAnsi="Cambria"/>
                <w:sz w:val="22"/>
                <w:szCs w:val="22"/>
              </w:rPr>
            </w:pPr>
            <w:r w:rsidRPr="000A4A98">
              <w:rPr>
                <w:rFonts w:ascii="Cambria" w:hAnsi="Cambria"/>
                <w:sz w:val="22"/>
                <w:szCs w:val="22"/>
              </w:rPr>
              <w:t xml:space="preserve">Estimated </w:t>
            </w:r>
            <w:r w:rsidR="00E766C2" w:rsidRPr="000A4A98">
              <w:rPr>
                <w:rFonts w:ascii="Cambria" w:hAnsi="Cambria"/>
                <w:sz w:val="22"/>
                <w:szCs w:val="22"/>
              </w:rPr>
              <w:t xml:space="preserve">% </w:t>
            </w:r>
            <w:r w:rsidRPr="000A4A98">
              <w:rPr>
                <w:rFonts w:ascii="Cambria" w:hAnsi="Cambria"/>
                <w:sz w:val="22"/>
                <w:szCs w:val="22"/>
              </w:rPr>
              <w:t>change in prices</w:t>
            </w:r>
          </w:p>
        </w:tc>
        <w:tc>
          <w:tcPr>
            <w:tcW w:w="1164" w:type="dxa"/>
            <w:tcBorders>
              <w:top w:val="single" w:sz="8" w:space="0" w:color="BBE0E3"/>
              <w:left w:val="single" w:sz="8" w:space="0" w:color="BBE0E3"/>
              <w:bottom w:val="single" w:sz="8" w:space="0" w:color="BBE0E3"/>
              <w:right w:val="single" w:sz="8" w:space="0" w:color="BBE0E3"/>
            </w:tcBorders>
            <w:shd w:val="clear" w:color="auto" w:fill="E7F3F4"/>
            <w:tcMar>
              <w:top w:w="20" w:type="dxa"/>
              <w:left w:w="20" w:type="dxa"/>
              <w:bottom w:w="0" w:type="dxa"/>
              <w:right w:w="20" w:type="dxa"/>
            </w:tcMar>
            <w:vAlign w:val="bottom"/>
          </w:tcPr>
          <w:p w14:paraId="257572C3" w14:textId="77777777" w:rsidR="00E27AE4" w:rsidRPr="000A4A98" w:rsidRDefault="00E27AE4" w:rsidP="00CB6779">
            <w:pPr>
              <w:rPr>
                <w:rFonts w:ascii="Cambria" w:hAnsi="Cambria"/>
                <w:sz w:val="22"/>
                <w:szCs w:val="22"/>
              </w:rPr>
            </w:pPr>
            <w:r w:rsidRPr="000A4A98">
              <w:rPr>
                <w:rFonts w:ascii="Cambria" w:hAnsi="Cambria"/>
                <w:sz w:val="22"/>
                <w:szCs w:val="22"/>
              </w:rPr>
              <w:t>-20.00%</w:t>
            </w:r>
          </w:p>
        </w:tc>
        <w:tc>
          <w:tcPr>
            <w:tcW w:w="1164" w:type="dxa"/>
            <w:tcBorders>
              <w:top w:val="single" w:sz="8" w:space="0" w:color="BBE0E3"/>
              <w:left w:val="single" w:sz="8" w:space="0" w:color="BBE0E3"/>
              <w:bottom w:val="single" w:sz="8" w:space="0" w:color="BBE0E3"/>
              <w:right w:val="single" w:sz="8" w:space="0" w:color="BBE0E3"/>
            </w:tcBorders>
            <w:shd w:val="clear" w:color="auto" w:fill="E7F3F4"/>
            <w:vAlign w:val="bottom"/>
          </w:tcPr>
          <w:p w14:paraId="5FB89706" w14:textId="6978920B" w:rsidR="00E27AE4" w:rsidRPr="000A4A98" w:rsidRDefault="005E657B" w:rsidP="00CB6779">
            <w:pPr>
              <w:rPr>
                <w:rFonts w:ascii="Cambria" w:hAnsi="Cambria"/>
                <w:sz w:val="22"/>
                <w:szCs w:val="22"/>
              </w:rPr>
            </w:pPr>
            <w:r w:rsidRPr="000A4A98">
              <w:rPr>
                <w:rFonts w:ascii="Cambria" w:hAnsi="Cambria"/>
                <w:sz w:val="22"/>
                <w:szCs w:val="22"/>
              </w:rPr>
              <w:t>-</w:t>
            </w:r>
            <w:r w:rsidR="00E766C2" w:rsidRPr="000A4A98">
              <w:rPr>
                <w:rFonts w:ascii="Cambria" w:hAnsi="Cambria"/>
                <w:sz w:val="22"/>
                <w:szCs w:val="22"/>
              </w:rPr>
              <w:t>6.25</w:t>
            </w:r>
            <w:r w:rsidR="00E27AE4" w:rsidRPr="000A4A98">
              <w:rPr>
                <w:rFonts w:ascii="Cambria" w:hAnsi="Cambria"/>
                <w:sz w:val="22"/>
                <w:szCs w:val="22"/>
              </w:rPr>
              <w:t>%</w:t>
            </w:r>
          </w:p>
        </w:tc>
      </w:tr>
    </w:tbl>
    <w:p w14:paraId="631D40A9" w14:textId="1EF67CAF" w:rsidR="00EF3D53" w:rsidRPr="000A4A98" w:rsidRDefault="00EF3D53" w:rsidP="00EF3D53">
      <w:pPr>
        <w:rPr>
          <w:rFonts w:ascii="Cambria" w:hAnsi="Cambria"/>
        </w:rPr>
      </w:pPr>
      <w:r w:rsidRPr="000A4A98">
        <w:rPr>
          <w:rFonts w:ascii="Cambria" w:hAnsi="Cambria"/>
        </w:rPr>
        <w:t xml:space="preserve">Source: </w:t>
      </w:r>
      <w:r w:rsidR="00713F12" w:rsidRPr="000A4A98">
        <w:rPr>
          <w:rFonts w:ascii="Cambria" w:hAnsi="Cambria"/>
        </w:rPr>
        <w:t>Mude et al. (forthcoming)</w:t>
      </w:r>
    </w:p>
    <w:p w14:paraId="72F0926D" w14:textId="77777777" w:rsidR="00EF1BC9" w:rsidRDefault="00EF1BC9" w:rsidP="00EF3D53">
      <w:pPr>
        <w:rPr>
          <w:rFonts w:ascii="Cambria" w:hAnsi="Cambria"/>
        </w:rPr>
      </w:pPr>
    </w:p>
    <w:p w14:paraId="7DD746C2" w14:textId="1631F95F" w:rsidR="00896662" w:rsidRPr="000A4A98" w:rsidRDefault="00896662" w:rsidP="00EF3D53">
      <w:pPr>
        <w:rPr>
          <w:rFonts w:ascii="Cambria" w:hAnsi="Cambria"/>
        </w:rPr>
      </w:pPr>
      <w:r>
        <w:rPr>
          <w:rFonts w:ascii="Cambria" w:hAnsi="Cambria"/>
        </w:rPr>
        <w:t>This method is particularly helpful when agencies are considering whether to pursue a local or regional procurement approach. Procuring commodities with in</w:t>
      </w:r>
      <w:r w:rsidR="00944D4F">
        <w:rPr>
          <w:rFonts w:ascii="Cambria" w:hAnsi="Cambria"/>
        </w:rPr>
        <w:t>elastic or less elastic price elasticities could lead to greater price increases than procuring commodities with more elastic price elasticities.</w:t>
      </w:r>
    </w:p>
    <w:p w14:paraId="4D52FD0A" w14:textId="77777777" w:rsidR="00EF3D53" w:rsidRDefault="00EF3D53" w:rsidP="00EF3D53">
      <w:pPr>
        <w:rPr>
          <w:rFonts w:ascii="Cambria" w:hAnsi="Cambria"/>
          <w:b/>
        </w:rPr>
      </w:pPr>
    </w:p>
    <w:p w14:paraId="0BFDA578" w14:textId="77777777" w:rsidR="00D24360" w:rsidRPr="006514C8" w:rsidRDefault="00D24360" w:rsidP="00D24360">
      <w:pPr>
        <w:rPr>
          <w:rFonts w:ascii="Cambria" w:hAnsi="Cambria"/>
          <w:i/>
          <w:u w:val="single"/>
        </w:rPr>
      </w:pPr>
      <w:r>
        <w:rPr>
          <w:rFonts w:ascii="Cambria" w:hAnsi="Cambria"/>
          <w:i/>
          <w:u w:val="single"/>
        </w:rPr>
        <w:t>Data sources</w:t>
      </w:r>
    </w:p>
    <w:p w14:paraId="1CC19A61" w14:textId="77777777" w:rsidR="00D24360" w:rsidRPr="000A4A98" w:rsidRDefault="00D24360" w:rsidP="00D24360">
      <w:pPr>
        <w:rPr>
          <w:rFonts w:ascii="Cambria" w:hAnsi="Cambria"/>
        </w:rPr>
      </w:pPr>
      <w:r w:rsidRPr="000A4A98">
        <w:rPr>
          <w:rFonts w:ascii="Cambria" w:hAnsi="Cambria"/>
        </w:rPr>
        <w:t>There are three data sources for elasticity measures.</w:t>
      </w:r>
    </w:p>
    <w:p w14:paraId="4A4C2E0A" w14:textId="77777777" w:rsidR="00D24360" w:rsidRPr="000A4A98" w:rsidRDefault="00D24360" w:rsidP="00D24360">
      <w:pPr>
        <w:rPr>
          <w:rFonts w:ascii="Cambria" w:hAnsi="Cambria"/>
        </w:rPr>
      </w:pPr>
    </w:p>
    <w:p w14:paraId="678F1550" w14:textId="5CD491DF" w:rsidR="00D24360" w:rsidRPr="000A4A98" w:rsidRDefault="00D24360" w:rsidP="00D24360">
      <w:pPr>
        <w:rPr>
          <w:rFonts w:ascii="Cambria" w:hAnsi="Cambria"/>
        </w:rPr>
      </w:pPr>
      <w:r w:rsidRPr="000A4A98">
        <w:rPr>
          <w:rFonts w:ascii="Cambria" w:hAnsi="Cambria"/>
        </w:rPr>
        <w:t>Household survey data on food consumption and expenditure patterns and prices can be used to compute elasticities.</w:t>
      </w:r>
      <w:r w:rsidR="001B1332">
        <w:rPr>
          <w:rFonts w:ascii="Cambria" w:hAnsi="Cambria"/>
        </w:rPr>
        <w:t xml:space="preserve"> </w:t>
      </w:r>
      <w:r w:rsidR="001B1332" w:rsidRPr="000A4A98">
        <w:rPr>
          <w:rFonts w:ascii="Cambria" w:hAnsi="Cambria"/>
        </w:rPr>
        <w:t xml:space="preserve">Consumption and expenditure studies may estimate elasticities for particular goods, locations, populations, and seasons. </w:t>
      </w:r>
      <w:r w:rsidR="001B1332" w:rsidRPr="000A4A98">
        <w:rPr>
          <w:rFonts w:ascii="Cambria" w:hAnsi="Cambria"/>
        </w:rPr>
        <w:lastRenderedPageBreak/>
        <w:t>Government statistics bureaus may have estimates from previous household level data collection.</w:t>
      </w:r>
      <w:r w:rsidRPr="000A4A98">
        <w:rPr>
          <w:rFonts w:ascii="Cambria" w:hAnsi="Cambria"/>
        </w:rPr>
        <w:t xml:space="preserve"> Ideally, income elasticity of demand will be differentiated by transfer form, income or wealth class, and season.  However, typically, such data will not be available in the relevant period and for the appropriate population. </w:t>
      </w:r>
    </w:p>
    <w:p w14:paraId="77319C8A" w14:textId="77777777" w:rsidR="00D24360" w:rsidRPr="000A4A98" w:rsidRDefault="00D24360" w:rsidP="00D24360">
      <w:pPr>
        <w:rPr>
          <w:rFonts w:ascii="Cambria" w:hAnsi="Cambria"/>
        </w:rPr>
      </w:pPr>
    </w:p>
    <w:p w14:paraId="454F4B59" w14:textId="2BA64DAC" w:rsidR="00D24360" w:rsidRPr="000A4A98" w:rsidRDefault="00D24360" w:rsidP="00D24360">
      <w:pPr>
        <w:rPr>
          <w:rFonts w:ascii="Cambria" w:hAnsi="Cambria"/>
        </w:rPr>
      </w:pPr>
      <w:r w:rsidRPr="000A4A98">
        <w:rPr>
          <w:rFonts w:ascii="Cambria" w:hAnsi="Cambria"/>
        </w:rPr>
        <w:t xml:space="preserve">When appropriate local elasticities are not available, use best guess estimates of the relevant elasticities, drawing on the literature (e.g., </w:t>
      </w:r>
      <w:proofErr w:type="spellStart"/>
      <w:r w:rsidRPr="000A4A98">
        <w:rPr>
          <w:rFonts w:ascii="Cambria" w:hAnsi="Cambria"/>
        </w:rPr>
        <w:t>Timmer</w:t>
      </w:r>
      <w:proofErr w:type="spellEnd"/>
      <w:r w:rsidRPr="000A4A98">
        <w:rPr>
          <w:rFonts w:ascii="Cambria" w:hAnsi="Cambria"/>
        </w:rPr>
        <w:t xml:space="preserve"> et al. 1983). </w:t>
      </w:r>
      <w:r w:rsidR="001B1332" w:rsidRPr="000A4A98">
        <w:rPr>
          <w:rFonts w:ascii="Cambria" w:hAnsi="Cambria"/>
        </w:rPr>
        <w:t xml:space="preserve">Income elasticities of demand for staple food commodities typically vary between 0.15 and 0.85 depending on the population, season and commodity, higher for poorer groups and hungry seasons and higher quality foods. </w:t>
      </w:r>
      <w:r w:rsidRPr="000A4A98">
        <w:rPr>
          <w:rFonts w:ascii="Cambria" w:hAnsi="Cambria"/>
        </w:rPr>
        <w:t xml:space="preserve">Use a higher income elasticity of demand for (a) in-kind transfers (e.g., food aid) than cash transfers, (b) poorer households, and (c) lean, pre-harvest seasons.  </w:t>
      </w:r>
      <w:r w:rsidR="00854925" w:rsidRPr="000A4A98">
        <w:rPr>
          <w:rFonts w:ascii="Cambria" w:hAnsi="Cambria"/>
        </w:rPr>
        <w:t>If elasticities are not available for the country/product in question, use high and low values of the next best available elasticities to compute a band of expected changes</w:t>
      </w:r>
      <w:r w:rsidR="00854925">
        <w:rPr>
          <w:rFonts w:ascii="Cambria" w:hAnsi="Cambria"/>
        </w:rPr>
        <w:t>.</w:t>
      </w:r>
      <w:r w:rsidR="00854925" w:rsidRPr="000A4A98">
        <w:rPr>
          <w:rFonts w:ascii="Cambria" w:hAnsi="Cambria"/>
        </w:rPr>
        <w:t xml:space="preserve"> </w:t>
      </w:r>
      <w:r w:rsidRPr="000A4A98">
        <w:rPr>
          <w:rFonts w:ascii="Cambria" w:hAnsi="Cambria"/>
        </w:rPr>
        <w:t xml:space="preserve"> As a starting point, see:</w:t>
      </w:r>
    </w:p>
    <w:p w14:paraId="0E0A80DC" w14:textId="601841C9" w:rsidR="00D24360" w:rsidRPr="000A4A98" w:rsidRDefault="00D24360" w:rsidP="00D24360">
      <w:pPr>
        <w:pStyle w:val="ListParagraph"/>
        <w:numPr>
          <w:ilvl w:val="0"/>
          <w:numId w:val="41"/>
        </w:numPr>
        <w:rPr>
          <w:rFonts w:ascii="Cambria" w:hAnsi="Cambria"/>
        </w:rPr>
      </w:pPr>
      <w:r w:rsidRPr="000A4A98">
        <w:rPr>
          <w:rFonts w:ascii="Cambria" w:hAnsi="Cambria"/>
        </w:rPr>
        <w:t>Food Budget Shares and Demand Elasticities from USDA</w:t>
      </w:r>
      <w:r w:rsidR="001B1332">
        <w:rPr>
          <w:rFonts w:ascii="Cambria" w:hAnsi="Cambria"/>
        </w:rPr>
        <w:t xml:space="preserve"> (1996)</w:t>
      </w:r>
    </w:p>
    <w:p w14:paraId="43FE1E23" w14:textId="77777777" w:rsidR="00D24360" w:rsidRPr="000A4A98" w:rsidRDefault="00140DC6" w:rsidP="00D24360">
      <w:pPr>
        <w:pStyle w:val="ListParagraph"/>
        <w:rPr>
          <w:rFonts w:ascii="Cambria" w:hAnsi="Cambria"/>
        </w:rPr>
      </w:pPr>
      <w:hyperlink r:id="rId23" w:history="1">
        <w:r w:rsidR="00D24360" w:rsidRPr="000A4A98">
          <w:rPr>
            <w:rStyle w:val="Hyperlink"/>
            <w:rFonts w:ascii="Cambria" w:hAnsi="Cambria"/>
          </w:rPr>
          <w:t>http://www.ers.usda.gov/data/InternationalFoodDemand/</w:t>
        </w:r>
      </w:hyperlink>
    </w:p>
    <w:p w14:paraId="06D6F09F" w14:textId="77777777" w:rsidR="00D24360" w:rsidRPr="000A4A98" w:rsidRDefault="00D24360" w:rsidP="00D24360">
      <w:pPr>
        <w:pStyle w:val="ListParagraph"/>
        <w:rPr>
          <w:rFonts w:ascii="Cambria" w:hAnsi="Cambria"/>
        </w:rPr>
      </w:pPr>
      <w:r w:rsidRPr="000A4A98">
        <w:rPr>
          <w:rFonts w:ascii="Cambria" w:hAnsi="Cambria"/>
        </w:rPr>
        <w:t>and</w:t>
      </w:r>
    </w:p>
    <w:p w14:paraId="7ED9B74F" w14:textId="77777777" w:rsidR="00D24360" w:rsidRPr="000A4A98" w:rsidRDefault="00140DC6" w:rsidP="00D24360">
      <w:pPr>
        <w:pStyle w:val="ListParagraph"/>
        <w:rPr>
          <w:rFonts w:ascii="Cambria" w:hAnsi="Cambria"/>
        </w:rPr>
      </w:pPr>
      <w:hyperlink r:id="rId24" w:history="1">
        <w:r w:rsidR="00D24360" w:rsidRPr="000A4A98">
          <w:rPr>
            <w:rStyle w:val="Hyperlink"/>
            <w:rFonts w:ascii="Cambria" w:hAnsi="Cambria"/>
          </w:rPr>
          <w:t>http://www.ers.usda.gov/Data/elasticities/query.aspx</w:t>
        </w:r>
      </w:hyperlink>
    </w:p>
    <w:p w14:paraId="7270AA98" w14:textId="77777777" w:rsidR="001B1332" w:rsidRPr="000A4A98" w:rsidRDefault="001B1332" w:rsidP="00D24360">
      <w:pPr>
        <w:rPr>
          <w:rFonts w:ascii="Cambria" w:hAnsi="Cambria"/>
        </w:rPr>
      </w:pPr>
    </w:p>
    <w:p w14:paraId="00D6DEBD" w14:textId="77777777" w:rsidR="00D24360" w:rsidRPr="000A4A98" w:rsidRDefault="00D24360" w:rsidP="00D24360">
      <w:pPr>
        <w:rPr>
          <w:rFonts w:ascii="Cambria" w:hAnsi="Cambria"/>
        </w:rPr>
      </w:pPr>
      <w:r w:rsidRPr="000A4A98">
        <w:rPr>
          <w:rFonts w:ascii="Cambria" w:hAnsi="Cambria"/>
        </w:rPr>
        <w:t>As a crude approximation of the income elasticity of demand, use household survey data to compute the ratio of weekly expenditures on food for an average household (including the market value of food produced at home) divided by the weekly earnings for the household (including the value of home-produced goods it consumes). The ratio of food expenditure to earnings also provides an exact short-term approximation of the effect of a price change on household welfare. This is useful if one wants to identify those households most likely to be harmed by any induced price rises.</w:t>
      </w:r>
    </w:p>
    <w:p w14:paraId="56440EEE" w14:textId="77777777" w:rsidR="00D24360" w:rsidRPr="000A4A98" w:rsidRDefault="00D24360" w:rsidP="00EF3D53">
      <w:pPr>
        <w:rPr>
          <w:rFonts w:ascii="Cambria" w:hAnsi="Cambria"/>
          <w:b/>
        </w:rPr>
      </w:pPr>
    </w:p>
    <w:p w14:paraId="4D325C80" w14:textId="35D5EA5D" w:rsidR="00EF3D53" w:rsidRPr="000A4A98" w:rsidRDefault="00156FC2" w:rsidP="00EF3D53">
      <w:pPr>
        <w:rPr>
          <w:rFonts w:ascii="Cambria" w:hAnsi="Cambria"/>
          <w:b/>
        </w:rPr>
      </w:pPr>
      <w:r>
        <w:rPr>
          <w:rFonts w:ascii="Cambria" w:hAnsi="Cambria"/>
          <w:b/>
        </w:rPr>
        <w:t>Marginal propensity to c</w:t>
      </w:r>
      <w:r w:rsidR="00EF3D53" w:rsidRPr="000A4A98">
        <w:rPr>
          <w:rFonts w:ascii="Cambria" w:hAnsi="Cambria"/>
          <w:b/>
        </w:rPr>
        <w:t>onsume</w:t>
      </w:r>
    </w:p>
    <w:p w14:paraId="275A08A6" w14:textId="69F99786" w:rsidR="00EF3D53" w:rsidRPr="000A4A98" w:rsidRDefault="00EF3D53" w:rsidP="00EF3D53">
      <w:pPr>
        <w:rPr>
          <w:rFonts w:ascii="Cambria" w:hAnsi="Cambria"/>
        </w:rPr>
      </w:pPr>
      <w:r w:rsidRPr="000A4A98">
        <w:rPr>
          <w:rFonts w:ascii="Cambria" w:hAnsi="Cambria"/>
        </w:rPr>
        <w:t xml:space="preserve">The </w:t>
      </w:r>
      <w:r w:rsidR="00C236C4">
        <w:rPr>
          <w:rFonts w:ascii="Cambria" w:hAnsi="Cambria"/>
        </w:rPr>
        <w:t>marginal propensity to consume (</w:t>
      </w:r>
      <w:r w:rsidRPr="000A4A98">
        <w:rPr>
          <w:rFonts w:ascii="Cambria" w:hAnsi="Cambria"/>
        </w:rPr>
        <w:t>MPC</w:t>
      </w:r>
      <w:r w:rsidR="00C236C4">
        <w:rPr>
          <w:rFonts w:ascii="Cambria" w:hAnsi="Cambria"/>
        </w:rPr>
        <w:t>)</w:t>
      </w:r>
      <w:r w:rsidRPr="000A4A98">
        <w:rPr>
          <w:rFonts w:ascii="Cambria" w:hAnsi="Cambria"/>
        </w:rPr>
        <w:t xml:space="preserve"> is similar to the income elasticity of demand. </w:t>
      </w:r>
      <w:r w:rsidR="00D82701" w:rsidRPr="000A4A98">
        <w:rPr>
          <w:rFonts w:ascii="Cambria" w:hAnsi="Cambria"/>
        </w:rPr>
        <w:t>While the elasticity measures how a</w:t>
      </w:r>
      <w:r w:rsidR="00D82701">
        <w:rPr>
          <w:rFonts w:ascii="Cambria" w:hAnsi="Cambria"/>
        </w:rPr>
        <w:t xml:space="preserve"> one</w:t>
      </w:r>
      <w:r w:rsidR="00D82701" w:rsidRPr="000A4A98">
        <w:rPr>
          <w:rFonts w:ascii="Cambria" w:hAnsi="Cambria"/>
        </w:rPr>
        <w:t xml:space="preserve"> percent increase in income changes the percent of food purchased, the MPC considers how much of the additional transfer will be spent as food.  </w:t>
      </w:r>
      <w:r w:rsidR="00D82701">
        <w:rPr>
          <w:rFonts w:ascii="Cambria" w:hAnsi="Cambria"/>
        </w:rPr>
        <w:t>When reliable estimates of the income elasticity</w:t>
      </w:r>
      <w:r w:rsidR="00AE6044" w:rsidRPr="000A4A98">
        <w:rPr>
          <w:rFonts w:ascii="Cambria" w:hAnsi="Cambria"/>
        </w:rPr>
        <w:t xml:space="preserve"> are unavailable, it is possible to generate expected MPCs through focus group discussions</w:t>
      </w:r>
      <w:r w:rsidR="00AE6044">
        <w:rPr>
          <w:rFonts w:ascii="Cambria" w:hAnsi="Cambria"/>
        </w:rPr>
        <w:t xml:space="preserve"> or interviews with households. </w:t>
      </w:r>
    </w:p>
    <w:p w14:paraId="440A830C" w14:textId="77777777" w:rsidR="00EF3D53" w:rsidRPr="000A4A98" w:rsidRDefault="00EF3D53" w:rsidP="00EF3D53">
      <w:pPr>
        <w:rPr>
          <w:rFonts w:ascii="Cambria" w:hAnsi="Cambria"/>
        </w:rPr>
      </w:pPr>
    </w:p>
    <w:p w14:paraId="16F7998B" w14:textId="77777777" w:rsidR="00C9368A" w:rsidRDefault="00C9368A" w:rsidP="00C9368A">
      <w:pPr>
        <w:rPr>
          <w:rFonts w:ascii="Cambria" w:hAnsi="Cambria"/>
          <w:i/>
          <w:u w:val="single"/>
        </w:rPr>
      </w:pPr>
      <w:r w:rsidRPr="002D656F">
        <w:rPr>
          <w:rFonts w:ascii="Cambria" w:hAnsi="Cambria"/>
          <w:i/>
          <w:u w:val="single"/>
        </w:rPr>
        <w:t>How does the analytic assist in answering th</w:t>
      </w:r>
      <w:r>
        <w:rPr>
          <w:rFonts w:ascii="Cambria" w:hAnsi="Cambria"/>
          <w:i/>
          <w:u w:val="single"/>
        </w:rPr>
        <w:t>e relevant MIFIRA sub-question?</w:t>
      </w:r>
    </w:p>
    <w:p w14:paraId="33CA3241" w14:textId="77777777" w:rsidR="00C9368A" w:rsidRDefault="00C9368A" w:rsidP="00C9368A">
      <w:pPr>
        <w:pStyle w:val="ListParagraph"/>
        <w:ind w:left="0"/>
        <w:rPr>
          <w:rFonts w:ascii="Cambria" w:hAnsi="Cambria"/>
          <w:i/>
        </w:rPr>
      </w:pPr>
    </w:p>
    <w:p w14:paraId="6EF6A966" w14:textId="77777777" w:rsidR="00C9368A" w:rsidRPr="002D656F" w:rsidRDefault="00C9368A" w:rsidP="00C9368A">
      <w:pPr>
        <w:pStyle w:val="ListParagraph"/>
        <w:ind w:left="0"/>
        <w:rPr>
          <w:rFonts w:ascii="Cambria" w:hAnsi="Cambria"/>
          <w:i/>
        </w:rPr>
      </w:pPr>
      <w:r w:rsidRPr="002D656F">
        <w:rPr>
          <w:rFonts w:ascii="Cambria" w:hAnsi="Cambria"/>
          <w:i/>
        </w:rPr>
        <w:t>1b: How will local demand respond to transfers?</w:t>
      </w:r>
    </w:p>
    <w:p w14:paraId="07CD9A54" w14:textId="4AD1DAEA" w:rsidR="00C9368A" w:rsidRPr="000A4A98" w:rsidRDefault="00C9368A" w:rsidP="00C9368A">
      <w:pPr>
        <w:pStyle w:val="ListParagraph"/>
        <w:ind w:left="0"/>
        <w:rPr>
          <w:rFonts w:ascii="Cambria" w:hAnsi="Cambria"/>
        </w:rPr>
      </w:pPr>
      <w:r>
        <w:rPr>
          <w:rFonts w:ascii="Cambria" w:hAnsi="Cambria"/>
        </w:rPr>
        <w:t>W</w:t>
      </w:r>
      <w:r w:rsidR="00D81075">
        <w:rPr>
          <w:rFonts w:ascii="Cambria" w:hAnsi="Cambria"/>
        </w:rPr>
        <w:t xml:space="preserve">e </w:t>
      </w:r>
      <w:r w:rsidRPr="000A4A98">
        <w:rPr>
          <w:rFonts w:ascii="Cambria" w:hAnsi="Cambria"/>
        </w:rPr>
        <w:t xml:space="preserve">can </w:t>
      </w:r>
      <w:r>
        <w:rPr>
          <w:rFonts w:ascii="Cambria" w:hAnsi="Cambria"/>
        </w:rPr>
        <w:t>use the marginal propensity to consume to estimate how local demand will respond to transfers.</w:t>
      </w:r>
      <w:r w:rsidRPr="000A4A98">
        <w:rPr>
          <w:rFonts w:ascii="Cambria" w:hAnsi="Cambria"/>
        </w:rPr>
        <w:t xml:space="preserve"> </w:t>
      </w:r>
    </w:p>
    <w:p w14:paraId="00D84A2E" w14:textId="77777777" w:rsidR="00EF3D53" w:rsidRDefault="00EF3D53" w:rsidP="00EF3D53">
      <w:pPr>
        <w:rPr>
          <w:rFonts w:ascii="Cambria" w:hAnsi="Cambria"/>
        </w:rPr>
      </w:pPr>
    </w:p>
    <w:p w14:paraId="2835858D" w14:textId="2851435F" w:rsidR="00D12AF8" w:rsidRPr="00D82701" w:rsidRDefault="00D12AF8" w:rsidP="00EF3D53">
      <w:pPr>
        <w:rPr>
          <w:rFonts w:ascii="Cambria" w:hAnsi="Cambria"/>
        </w:rPr>
      </w:pPr>
      <w:r>
        <w:rPr>
          <w:rFonts w:ascii="Cambria" w:hAnsi="Cambria"/>
          <w:i/>
          <w:u w:val="single"/>
        </w:rPr>
        <w:t>How to estimate and use the MPC</w:t>
      </w:r>
    </w:p>
    <w:p w14:paraId="09A09FCF" w14:textId="77777777" w:rsidR="001C2135" w:rsidRPr="000A4A98" w:rsidRDefault="001C2135" w:rsidP="001C2135">
      <w:pPr>
        <w:rPr>
          <w:rFonts w:ascii="Cambria" w:hAnsi="Cambria"/>
        </w:rPr>
      </w:pPr>
      <w:r w:rsidRPr="000A4A98">
        <w:rPr>
          <w:rFonts w:ascii="Cambria" w:hAnsi="Cambria"/>
        </w:rPr>
        <w:t>The marginal propensity to consume is the ratio of the change in consumption resulting from a change in income (e.g., value of the transfer).</w:t>
      </w:r>
    </w:p>
    <w:p w14:paraId="721F6FD5" w14:textId="77777777" w:rsidR="001C2135" w:rsidRPr="000A4A98" w:rsidRDefault="001C2135" w:rsidP="001C2135">
      <w:pPr>
        <w:rPr>
          <w:rFonts w:ascii="Cambria" w:hAnsi="Cambria"/>
        </w:rPr>
      </w:pPr>
    </w:p>
    <w:p w14:paraId="3B1241F4" w14:textId="77777777" w:rsidR="001C2135" w:rsidRPr="000A4A98" w:rsidRDefault="001C2135" w:rsidP="001C2135">
      <w:pPr>
        <w:rPr>
          <w:rFonts w:ascii="Cambria" w:hAnsi="Cambria"/>
        </w:rPr>
      </w:pPr>
      <w:r w:rsidRPr="000A4A98">
        <w:rPr>
          <w:rFonts w:ascii="Cambria" w:hAnsi="Cambria"/>
        </w:rPr>
        <w:lastRenderedPageBreak/>
        <w:t xml:space="preserve">MPC = change in consumption/change in income </w:t>
      </w:r>
    </w:p>
    <w:p w14:paraId="3D6292A5" w14:textId="77777777" w:rsidR="001C2135" w:rsidRDefault="001C2135" w:rsidP="00EF3D53">
      <w:pPr>
        <w:rPr>
          <w:rFonts w:ascii="Cambria" w:hAnsi="Cambria"/>
        </w:rPr>
      </w:pPr>
    </w:p>
    <w:p w14:paraId="69C4A211" w14:textId="77777777" w:rsidR="00D25F4A" w:rsidRDefault="006C7415" w:rsidP="00EF3D53">
      <w:pPr>
        <w:rPr>
          <w:rFonts w:ascii="Cambria" w:hAnsi="Cambria"/>
        </w:rPr>
      </w:pPr>
      <w:r>
        <w:rPr>
          <w:rFonts w:ascii="Cambria" w:hAnsi="Cambria"/>
        </w:rPr>
        <w:t>To use the</w:t>
      </w:r>
      <w:r w:rsidR="00EF3D53" w:rsidRPr="000A4A98">
        <w:rPr>
          <w:rFonts w:ascii="Cambria" w:hAnsi="Cambria"/>
        </w:rPr>
        <w:t xml:space="preserve"> MPC requires </w:t>
      </w:r>
      <w:r>
        <w:rPr>
          <w:rFonts w:ascii="Cambria" w:hAnsi="Cambria"/>
        </w:rPr>
        <w:t xml:space="preserve">estimates of </w:t>
      </w:r>
      <w:r w:rsidR="00EF3D53" w:rsidRPr="000A4A98">
        <w:rPr>
          <w:rFonts w:ascii="Cambria" w:hAnsi="Cambria"/>
        </w:rPr>
        <w:t>the likely size of the transfer</w:t>
      </w:r>
      <w:r w:rsidR="00447EA4">
        <w:rPr>
          <w:rFonts w:ascii="Cambria" w:hAnsi="Cambria"/>
        </w:rPr>
        <w:t xml:space="preserve"> (which we treat as income)</w:t>
      </w:r>
      <w:r w:rsidR="00EF3D53" w:rsidRPr="000A4A98">
        <w:rPr>
          <w:rFonts w:ascii="Cambria" w:hAnsi="Cambria"/>
        </w:rPr>
        <w:t xml:space="preserve"> </w:t>
      </w:r>
      <w:r w:rsidR="00EF3D53" w:rsidRPr="00447EA4">
        <w:rPr>
          <w:rFonts w:ascii="Cambria" w:hAnsi="Cambria"/>
        </w:rPr>
        <w:t>and the likely increase in consumption.</w:t>
      </w:r>
      <w:r w:rsidR="00EF3D53" w:rsidRPr="000A4A98">
        <w:rPr>
          <w:rFonts w:ascii="Cambria" w:hAnsi="Cambria"/>
        </w:rPr>
        <w:t xml:space="preserve"> </w:t>
      </w:r>
    </w:p>
    <w:p w14:paraId="5352AB3D" w14:textId="77777777" w:rsidR="00D25F4A" w:rsidRDefault="00D25F4A" w:rsidP="00EF3D53">
      <w:pPr>
        <w:rPr>
          <w:rFonts w:ascii="Cambria" w:hAnsi="Cambria"/>
        </w:rPr>
      </w:pPr>
    </w:p>
    <w:p w14:paraId="09A8A089" w14:textId="5FBBDEAA" w:rsidR="00EF3D53" w:rsidRPr="000A4A98" w:rsidRDefault="00EF3D53" w:rsidP="00EF3D53">
      <w:pPr>
        <w:rPr>
          <w:rFonts w:ascii="Cambria" w:hAnsi="Cambria"/>
        </w:rPr>
      </w:pPr>
      <w:r w:rsidRPr="000A4A98">
        <w:rPr>
          <w:rFonts w:ascii="Cambria" w:hAnsi="Cambria"/>
        </w:rPr>
        <w:t>A simple way of computing the MPC is to ask likely recipient households</w:t>
      </w:r>
      <w:r w:rsidR="00D25F4A">
        <w:rPr>
          <w:rFonts w:ascii="Cambria" w:hAnsi="Cambria"/>
        </w:rPr>
        <w:t>, either during a survey or in a focus group discussion,</w:t>
      </w:r>
      <w:r w:rsidRPr="000A4A98">
        <w:rPr>
          <w:rFonts w:ascii="Cambria" w:hAnsi="Cambria"/>
        </w:rPr>
        <w:t xml:space="preserve"> how they would spend a one-time gift. Using proportional piling, households indicate what proportion of this gift would be spent on food.  The denominator is the size of the one-time gift, while the numerator is the value of the gift that would be spent on food.</w:t>
      </w:r>
      <w:r w:rsidR="007A08DA">
        <w:rPr>
          <w:rFonts w:ascii="Cambria" w:hAnsi="Cambria"/>
        </w:rPr>
        <w:t xml:space="preserve"> </w:t>
      </w:r>
    </w:p>
    <w:p w14:paraId="0A8A460F" w14:textId="1A9712A2" w:rsidR="00EF3D53" w:rsidRPr="000A4A98" w:rsidRDefault="00EF3D53" w:rsidP="00EF3D53">
      <w:pPr>
        <w:rPr>
          <w:rFonts w:ascii="Cambria" w:hAnsi="Cambria"/>
          <w:b/>
        </w:rPr>
      </w:pPr>
    </w:p>
    <w:p w14:paraId="75AE5EF9" w14:textId="11C416DC" w:rsidR="00EF3D53" w:rsidRPr="000A4A98" w:rsidRDefault="00EF3D53" w:rsidP="00EF3D53">
      <w:pPr>
        <w:rPr>
          <w:rFonts w:ascii="Cambria" w:hAnsi="Cambria"/>
        </w:rPr>
      </w:pPr>
      <w:r w:rsidRPr="000A4A98">
        <w:rPr>
          <w:rFonts w:ascii="Cambria" w:hAnsi="Cambria"/>
        </w:rPr>
        <w:t xml:space="preserve">Aggregating across households, it is possible to assess how much additional food traders would likely need to bring into the community following a cash transfer. </w:t>
      </w:r>
      <w:r w:rsidR="007A08DA">
        <w:rPr>
          <w:rFonts w:ascii="Cambria" w:hAnsi="Cambria"/>
        </w:rPr>
        <w:t>In the example below, we chose the value of the gift to be roughly equivalent to the value of a distribution of food.</w:t>
      </w:r>
    </w:p>
    <w:p w14:paraId="1D0FB3D9" w14:textId="77777777" w:rsidR="00EF3D53" w:rsidRDefault="00EF3D53" w:rsidP="00EF3D53">
      <w:pPr>
        <w:rPr>
          <w:rFonts w:ascii="Cambria" w:hAnsi="Cambria"/>
        </w:rPr>
      </w:pPr>
    </w:p>
    <w:p w14:paraId="4839E807" w14:textId="66CDEF23" w:rsidR="00A92250" w:rsidRPr="00A92250" w:rsidRDefault="00A92250" w:rsidP="00A92250">
      <w:pPr>
        <w:rPr>
          <w:rFonts w:ascii="Times New Roman" w:hAnsi="Times New Roman"/>
        </w:rPr>
      </w:pPr>
      <w:r w:rsidRPr="00A92250">
        <w:rPr>
          <w:rFonts w:ascii="Times New Roman" w:hAnsi="Times New Roman"/>
        </w:rPr>
        <w:t>MARGINAL INCOME</w:t>
      </w:r>
    </w:p>
    <w:p w14:paraId="70873247" w14:textId="77777777" w:rsidR="00A92250" w:rsidRDefault="00A92250" w:rsidP="00A92250">
      <w:pPr>
        <w:ind w:left="720"/>
        <w:rPr>
          <w:rFonts w:ascii="Times New Roman" w:hAnsi="Times New Roman"/>
          <w:b/>
        </w:rPr>
      </w:pPr>
    </w:p>
    <w:p w14:paraId="0DA0B08D" w14:textId="2B164E3C" w:rsidR="00A92250" w:rsidRPr="000806CB" w:rsidRDefault="00A92250" w:rsidP="00A92250">
      <w:pPr>
        <w:numPr>
          <w:ilvl w:val="0"/>
          <w:numId w:val="48"/>
        </w:numPr>
        <w:rPr>
          <w:rFonts w:ascii="Times New Roman" w:hAnsi="Times New Roman"/>
        </w:rPr>
      </w:pPr>
      <w:r>
        <w:rPr>
          <w:rFonts w:ascii="Times New Roman" w:hAnsi="Times New Roman"/>
        </w:rPr>
        <w:t xml:space="preserve">If you received </w:t>
      </w:r>
      <w:r w:rsidR="007A08DA">
        <w:rPr>
          <w:rFonts w:ascii="Times New Roman" w:hAnsi="Times New Roman"/>
        </w:rPr>
        <w:t xml:space="preserve">a gift of </w:t>
      </w:r>
      <w:r>
        <w:rPr>
          <w:rFonts w:ascii="Times New Roman" w:hAnsi="Times New Roman"/>
        </w:rPr>
        <w:t>2</w:t>
      </w:r>
      <w:r w:rsidRPr="000806CB">
        <w:rPr>
          <w:rFonts w:ascii="Times New Roman" w:hAnsi="Times New Roman"/>
        </w:rPr>
        <w:t xml:space="preserve">000 </w:t>
      </w:r>
      <w:proofErr w:type="spellStart"/>
      <w:r w:rsidRPr="000806CB">
        <w:rPr>
          <w:rFonts w:ascii="Times New Roman" w:hAnsi="Times New Roman"/>
        </w:rPr>
        <w:t>Ksh</w:t>
      </w:r>
      <w:proofErr w:type="spellEnd"/>
      <w:r w:rsidRPr="000806CB">
        <w:rPr>
          <w:rFonts w:ascii="Times New Roman" w:hAnsi="Times New Roman"/>
        </w:rPr>
        <w:t xml:space="preserve"> </w:t>
      </w:r>
      <w:r>
        <w:rPr>
          <w:rFonts w:ascii="Times New Roman" w:hAnsi="Times New Roman"/>
        </w:rPr>
        <w:t>today</w:t>
      </w:r>
      <w:r w:rsidRPr="000806CB">
        <w:rPr>
          <w:rFonts w:ascii="Times New Roman" w:hAnsi="Times New Roman"/>
        </w:rPr>
        <w:t xml:space="preserve">, what are the ways in which you would use this money?  And how </w:t>
      </w:r>
      <w:r>
        <w:rPr>
          <w:rFonts w:ascii="Times New Roman" w:hAnsi="Times New Roman"/>
        </w:rPr>
        <w:t xml:space="preserve">would you distribute the </w:t>
      </w:r>
      <w:proofErr w:type="spellStart"/>
      <w:r>
        <w:rPr>
          <w:rFonts w:ascii="Times New Roman" w:hAnsi="Times New Roman"/>
        </w:rPr>
        <w:t>Ksh</w:t>
      </w:r>
      <w:proofErr w:type="spellEnd"/>
      <w:r>
        <w:rPr>
          <w:rFonts w:ascii="Times New Roman" w:hAnsi="Times New Roman"/>
        </w:rPr>
        <w:t xml:space="preserve"> 2000 across these ways?</w:t>
      </w:r>
    </w:p>
    <w:p w14:paraId="68A1D448" w14:textId="77777777" w:rsidR="00A92250" w:rsidRDefault="00A92250" w:rsidP="00A922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7"/>
        <w:gridCol w:w="3029"/>
      </w:tblGrid>
      <w:tr w:rsidR="00A92250" w:rsidRPr="00367807" w14:paraId="294EADBA" w14:textId="77777777" w:rsidTr="00811823">
        <w:trPr>
          <w:jc w:val="center"/>
        </w:trPr>
        <w:tc>
          <w:tcPr>
            <w:tcW w:w="3290" w:type="pct"/>
            <w:shd w:val="clear" w:color="auto" w:fill="B3B3B3"/>
          </w:tcPr>
          <w:p w14:paraId="2359BDCD" w14:textId="77777777" w:rsidR="00A92250" w:rsidRDefault="00A92250" w:rsidP="00811823">
            <w:pPr>
              <w:jc w:val="center"/>
              <w:rPr>
                <w:rFonts w:ascii="Times New Roman" w:hAnsi="Times New Roman"/>
              </w:rPr>
            </w:pPr>
            <w:r w:rsidRPr="00367807">
              <w:rPr>
                <w:rFonts w:ascii="Times New Roman" w:hAnsi="Times New Roman"/>
              </w:rPr>
              <w:t>Ways of using the money</w:t>
            </w:r>
          </w:p>
          <w:p w14:paraId="44D32DAD" w14:textId="77777777" w:rsidR="00A92250" w:rsidRDefault="00A92250" w:rsidP="00811823">
            <w:pPr>
              <w:jc w:val="center"/>
              <w:rPr>
                <w:rFonts w:ascii="Times New Roman" w:hAnsi="Times New Roman"/>
              </w:rPr>
            </w:pPr>
          </w:p>
          <w:p w14:paraId="748C1545" w14:textId="77777777" w:rsidR="00A92250" w:rsidRPr="00CA066E" w:rsidRDefault="00A92250" w:rsidP="00811823">
            <w:pPr>
              <w:jc w:val="center"/>
              <w:rPr>
                <w:rFonts w:ascii="Times New Roman" w:hAnsi="Times New Roman"/>
                <w:sz w:val="20"/>
                <w:szCs w:val="20"/>
              </w:rPr>
            </w:pPr>
            <w:r w:rsidRPr="00CA066E">
              <w:rPr>
                <w:rFonts w:ascii="Times New Roman" w:hAnsi="Times New Roman"/>
                <w:sz w:val="20"/>
                <w:szCs w:val="20"/>
              </w:rPr>
              <w:t>Use code below</w:t>
            </w:r>
          </w:p>
        </w:tc>
        <w:tc>
          <w:tcPr>
            <w:tcW w:w="1710" w:type="pct"/>
            <w:shd w:val="clear" w:color="auto" w:fill="B3B3B3"/>
          </w:tcPr>
          <w:p w14:paraId="3D18E696" w14:textId="77777777" w:rsidR="00A92250" w:rsidRDefault="00A92250" w:rsidP="00811823">
            <w:pPr>
              <w:jc w:val="center"/>
              <w:rPr>
                <w:rFonts w:ascii="Times New Roman" w:hAnsi="Times New Roman"/>
              </w:rPr>
            </w:pPr>
            <w:r>
              <w:rPr>
                <w:rFonts w:ascii="Times New Roman" w:hAnsi="Times New Roman"/>
              </w:rPr>
              <w:t xml:space="preserve">Distribution of the total </w:t>
            </w:r>
          </w:p>
          <w:p w14:paraId="7F52DF55" w14:textId="77777777" w:rsidR="00A92250" w:rsidRPr="00367807" w:rsidRDefault="00A92250" w:rsidP="00811823">
            <w:pPr>
              <w:jc w:val="center"/>
              <w:rPr>
                <w:rFonts w:ascii="Times New Roman" w:hAnsi="Times New Roman"/>
              </w:rPr>
            </w:pPr>
            <w:proofErr w:type="spellStart"/>
            <w:r>
              <w:rPr>
                <w:rFonts w:ascii="Times New Roman" w:hAnsi="Times New Roman"/>
              </w:rPr>
              <w:t>Ksh</w:t>
            </w:r>
            <w:proofErr w:type="spellEnd"/>
            <w:r>
              <w:rPr>
                <w:rFonts w:ascii="Times New Roman" w:hAnsi="Times New Roman"/>
              </w:rPr>
              <w:t xml:space="preserve"> 2000</w:t>
            </w:r>
          </w:p>
        </w:tc>
      </w:tr>
      <w:tr w:rsidR="00A92250" w:rsidRPr="00367807" w14:paraId="2C9A761E" w14:textId="77777777" w:rsidTr="00811823">
        <w:trPr>
          <w:trHeight w:val="432"/>
          <w:jc w:val="center"/>
        </w:trPr>
        <w:tc>
          <w:tcPr>
            <w:tcW w:w="3290" w:type="pct"/>
          </w:tcPr>
          <w:p w14:paraId="4A6B7723" w14:textId="77777777" w:rsidR="00A92250" w:rsidRPr="00367807" w:rsidRDefault="00A92250" w:rsidP="00811823">
            <w:pPr>
              <w:jc w:val="center"/>
              <w:rPr>
                <w:rFonts w:ascii="Times New Roman" w:hAnsi="Times New Roman"/>
              </w:rPr>
            </w:pPr>
          </w:p>
        </w:tc>
        <w:tc>
          <w:tcPr>
            <w:tcW w:w="1710" w:type="pct"/>
          </w:tcPr>
          <w:p w14:paraId="17C646E5" w14:textId="77777777" w:rsidR="00A92250" w:rsidRPr="00367807" w:rsidRDefault="00A92250" w:rsidP="00811823">
            <w:pPr>
              <w:jc w:val="center"/>
              <w:rPr>
                <w:rFonts w:ascii="Times New Roman" w:hAnsi="Times New Roman"/>
              </w:rPr>
            </w:pPr>
          </w:p>
        </w:tc>
      </w:tr>
      <w:tr w:rsidR="00A92250" w:rsidRPr="00367807" w14:paraId="7D6E7A44" w14:textId="77777777" w:rsidTr="00811823">
        <w:trPr>
          <w:trHeight w:val="432"/>
          <w:jc w:val="center"/>
        </w:trPr>
        <w:tc>
          <w:tcPr>
            <w:tcW w:w="3290" w:type="pct"/>
            <w:vAlign w:val="center"/>
          </w:tcPr>
          <w:p w14:paraId="3CB215D8" w14:textId="77777777" w:rsidR="00A92250" w:rsidRPr="00367807" w:rsidRDefault="00A92250" w:rsidP="00811823">
            <w:pPr>
              <w:jc w:val="center"/>
              <w:rPr>
                <w:rFonts w:ascii="Times New Roman" w:hAnsi="Times New Roman"/>
              </w:rPr>
            </w:pPr>
          </w:p>
        </w:tc>
        <w:tc>
          <w:tcPr>
            <w:tcW w:w="1710" w:type="pct"/>
          </w:tcPr>
          <w:p w14:paraId="16FCDB1C" w14:textId="77777777" w:rsidR="00A92250" w:rsidRPr="00367807" w:rsidRDefault="00A92250" w:rsidP="00811823">
            <w:pPr>
              <w:jc w:val="center"/>
              <w:rPr>
                <w:rFonts w:ascii="Times New Roman" w:hAnsi="Times New Roman"/>
              </w:rPr>
            </w:pPr>
          </w:p>
        </w:tc>
      </w:tr>
      <w:tr w:rsidR="00A92250" w:rsidRPr="00367807" w14:paraId="78A791EB" w14:textId="77777777" w:rsidTr="00811823">
        <w:trPr>
          <w:trHeight w:val="432"/>
          <w:jc w:val="center"/>
        </w:trPr>
        <w:tc>
          <w:tcPr>
            <w:tcW w:w="3290" w:type="pct"/>
            <w:vAlign w:val="center"/>
          </w:tcPr>
          <w:p w14:paraId="12556C48" w14:textId="77777777" w:rsidR="00A92250" w:rsidRPr="00367807" w:rsidRDefault="00A92250" w:rsidP="00811823">
            <w:pPr>
              <w:jc w:val="center"/>
              <w:rPr>
                <w:rFonts w:ascii="Times New Roman" w:hAnsi="Times New Roman"/>
              </w:rPr>
            </w:pPr>
          </w:p>
        </w:tc>
        <w:tc>
          <w:tcPr>
            <w:tcW w:w="1710" w:type="pct"/>
          </w:tcPr>
          <w:p w14:paraId="7227B715" w14:textId="77777777" w:rsidR="00A92250" w:rsidRPr="00367807" w:rsidRDefault="00A92250" w:rsidP="00811823">
            <w:pPr>
              <w:jc w:val="center"/>
              <w:rPr>
                <w:rFonts w:ascii="Times New Roman" w:hAnsi="Times New Roman"/>
              </w:rPr>
            </w:pPr>
          </w:p>
        </w:tc>
      </w:tr>
      <w:tr w:rsidR="00A92250" w:rsidRPr="00367807" w14:paraId="4AB0E045" w14:textId="77777777" w:rsidTr="00811823">
        <w:trPr>
          <w:trHeight w:val="432"/>
          <w:jc w:val="center"/>
        </w:trPr>
        <w:tc>
          <w:tcPr>
            <w:tcW w:w="3290" w:type="pct"/>
            <w:vAlign w:val="center"/>
          </w:tcPr>
          <w:p w14:paraId="0E6FF456" w14:textId="77777777" w:rsidR="00A92250" w:rsidRPr="00367807" w:rsidRDefault="00A92250" w:rsidP="00811823">
            <w:pPr>
              <w:jc w:val="center"/>
              <w:rPr>
                <w:rFonts w:ascii="Times New Roman" w:hAnsi="Times New Roman"/>
              </w:rPr>
            </w:pPr>
          </w:p>
        </w:tc>
        <w:tc>
          <w:tcPr>
            <w:tcW w:w="1710" w:type="pct"/>
          </w:tcPr>
          <w:p w14:paraId="77FD479A" w14:textId="77777777" w:rsidR="00A92250" w:rsidRPr="00367807" w:rsidRDefault="00A92250" w:rsidP="00811823">
            <w:pPr>
              <w:jc w:val="center"/>
              <w:rPr>
                <w:rFonts w:ascii="Times New Roman" w:hAnsi="Times New Roman"/>
              </w:rPr>
            </w:pPr>
          </w:p>
        </w:tc>
      </w:tr>
      <w:tr w:rsidR="00A92250" w:rsidRPr="00367807" w14:paraId="609AE14C" w14:textId="77777777" w:rsidTr="00811823">
        <w:trPr>
          <w:trHeight w:val="432"/>
          <w:jc w:val="center"/>
        </w:trPr>
        <w:tc>
          <w:tcPr>
            <w:tcW w:w="3290" w:type="pct"/>
            <w:vAlign w:val="center"/>
          </w:tcPr>
          <w:p w14:paraId="3C4ECE51" w14:textId="77777777" w:rsidR="00A92250" w:rsidRPr="00367807" w:rsidRDefault="00A92250" w:rsidP="00811823">
            <w:pPr>
              <w:jc w:val="center"/>
              <w:rPr>
                <w:rFonts w:ascii="Times New Roman" w:hAnsi="Times New Roman"/>
              </w:rPr>
            </w:pPr>
          </w:p>
        </w:tc>
        <w:tc>
          <w:tcPr>
            <w:tcW w:w="1710" w:type="pct"/>
          </w:tcPr>
          <w:p w14:paraId="364DC567" w14:textId="77777777" w:rsidR="00A92250" w:rsidRPr="00367807" w:rsidRDefault="00A92250" w:rsidP="00811823">
            <w:pPr>
              <w:jc w:val="center"/>
              <w:rPr>
                <w:rFonts w:ascii="Times New Roman" w:hAnsi="Times New Roman"/>
              </w:rPr>
            </w:pPr>
          </w:p>
        </w:tc>
      </w:tr>
      <w:tr w:rsidR="00A94118" w:rsidRPr="00367807" w14:paraId="6508534D" w14:textId="77777777" w:rsidTr="00811823">
        <w:trPr>
          <w:trHeight w:val="432"/>
          <w:jc w:val="center"/>
        </w:trPr>
        <w:tc>
          <w:tcPr>
            <w:tcW w:w="3290" w:type="pct"/>
            <w:vAlign w:val="center"/>
          </w:tcPr>
          <w:p w14:paraId="07208337" w14:textId="77777777" w:rsidR="00A94118" w:rsidRPr="00367807" w:rsidRDefault="00A94118" w:rsidP="00811823">
            <w:pPr>
              <w:jc w:val="center"/>
              <w:rPr>
                <w:rFonts w:ascii="Times New Roman" w:hAnsi="Times New Roman"/>
              </w:rPr>
            </w:pPr>
          </w:p>
        </w:tc>
        <w:tc>
          <w:tcPr>
            <w:tcW w:w="1710" w:type="pct"/>
          </w:tcPr>
          <w:p w14:paraId="05569114" w14:textId="77777777" w:rsidR="00A94118" w:rsidRPr="00367807" w:rsidRDefault="00A94118" w:rsidP="00811823">
            <w:pPr>
              <w:jc w:val="center"/>
              <w:rPr>
                <w:rFonts w:ascii="Times New Roman" w:hAnsi="Times New Roman"/>
              </w:rPr>
            </w:pPr>
          </w:p>
        </w:tc>
      </w:tr>
    </w:tbl>
    <w:p w14:paraId="4F95D6C9" w14:textId="77777777" w:rsidR="00A92250" w:rsidRDefault="00A92250" w:rsidP="00A92250">
      <w:pPr>
        <w:jc w:val="center"/>
        <w:rPr>
          <w:rFonts w:ascii="Times New Roman" w:hAnsi="Times New Roman"/>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2160"/>
        <w:gridCol w:w="1620"/>
        <w:gridCol w:w="1890"/>
        <w:gridCol w:w="1530"/>
      </w:tblGrid>
      <w:tr w:rsidR="00A92250" w14:paraId="4C3C9404" w14:textId="77777777" w:rsidTr="00811823">
        <w:tc>
          <w:tcPr>
            <w:tcW w:w="3168" w:type="dxa"/>
          </w:tcPr>
          <w:p w14:paraId="425DC4F2" w14:textId="77777777" w:rsidR="00A92250" w:rsidRPr="00581B05" w:rsidRDefault="00A92250" w:rsidP="00811823">
            <w:pPr>
              <w:rPr>
                <w:rFonts w:ascii="Times New Roman" w:hAnsi="Times New Roman"/>
                <w:sz w:val="20"/>
                <w:szCs w:val="20"/>
                <w:u w:val="single"/>
              </w:rPr>
            </w:pPr>
            <w:r>
              <w:rPr>
                <w:rFonts w:ascii="Times New Roman" w:hAnsi="Times New Roman"/>
                <w:sz w:val="20"/>
                <w:szCs w:val="20"/>
                <w:u w:val="single"/>
              </w:rPr>
              <w:t>Code</w:t>
            </w:r>
          </w:p>
        </w:tc>
        <w:tc>
          <w:tcPr>
            <w:tcW w:w="3780" w:type="dxa"/>
            <w:gridSpan w:val="2"/>
          </w:tcPr>
          <w:p w14:paraId="22594F48" w14:textId="77777777" w:rsidR="00A92250" w:rsidRPr="00581B05" w:rsidRDefault="00A92250" w:rsidP="00811823">
            <w:pPr>
              <w:rPr>
                <w:rFonts w:ascii="Times New Roman" w:hAnsi="Times New Roman"/>
                <w:sz w:val="20"/>
                <w:szCs w:val="20"/>
              </w:rPr>
            </w:pPr>
          </w:p>
        </w:tc>
        <w:tc>
          <w:tcPr>
            <w:tcW w:w="3420" w:type="dxa"/>
            <w:gridSpan w:val="2"/>
          </w:tcPr>
          <w:p w14:paraId="57434F0D" w14:textId="77777777" w:rsidR="00A92250" w:rsidRPr="00116E69" w:rsidRDefault="00A92250" w:rsidP="00811823">
            <w:pPr>
              <w:rPr>
                <w:rFonts w:ascii="Times New Roman" w:hAnsi="Times New Roman"/>
                <w:sz w:val="20"/>
                <w:szCs w:val="20"/>
                <w:u w:val="single"/>
              </w:rPr>
            </w:pPr>
          </w:p>
        </w:tc>
      </w:tr>
      <w:tr w:rsidR="004378ED" w14:paraId="36CE5DA9" w14:textId="77777777" w:rsidTr="004378ED">
        <w:trPr>
          <w:gridAfter w:val="1"/>
          <w:wAfter w:w="1530" w:type="dxa"/>
          <w:trHeight w:val="225"/>
        </w:trPr>
        <w:tc>
          <w:tcPr>
            <w:tcW w:w="3168" w:type="dxa"/>
          </w:tcPr>
          <w:p w14:paraId="4B0745AE"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1: Food</w:t>
            </w:r>
          </w:p>
          <w:p w14:paraId="7108F116"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2: School fees</w:t>
            </w:r>
          </w:p>
          <w:p w14:paraId="7F15C0C4"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3: Healthcare or medicine for family</w:t>
            </w:r>
          </w:p>
          <w:p w14:paraId="00910F13" w14:textId="77777777" w:rsidR="00A92250" w:rsidRPr="00116E69" w:rsidRDefault="00A92250" w:rsidP="00811823">
            <w:pPr>
              <w:rPr>
                <w:rFonts w:ascii="Times New Roman" w:hAnsi="Times New Roman"/>
                <w:sz w:val="20"/>
                <w:szCs w:val="20"/>
              </w:rPr>
            </w:pPr>
            <w:r w:rsidRPr="00593F97">
              <w:rPr>
                <w:rFonts w:ascii="Times New Roman" w:hAnsi="Times New Roman"/>
                <w:sz w:val="20"/>
                <w:szCs w:val="20"/>
              </w:rPr>
              <w:t>4: Clothing</w:t>
            </w:r>
          </w:p>
        </w:tc>
        <w:tc>
          <w:tcPr>
            <w:tcW w:w="2160" w:type="dxa"/>
          </w:tcPr>
          <w:p w14:paraId="57FC06B8"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5: A</w:t>
            </w:r>
            <w:r>
              <w:rPr>
                <w:rFonts w:ascii="Times New Roman" w:hAnsi="Times New Roman"/>
                <w:sz w:val="20"/>
                <w:szCs w:val="20"/>
              </w:rPr>
              <w:t>nimal healthcare</w:t>
            </w:r>
          </w:p>
          <w:p w14:paraId="7A9AB13C"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 xml:space="preserve">6: Repay loan </w:t>
            </w:r>
          </w:p>
          <w:p w14:paraId="1B8E41C9" w14:textId="77777777" w:rsidR="00A92250" w:rsidRPr="00593F97" w:rsidRDefault="00A92250" w:rsidP="00811823">
            <w:pPr>
              <w:rPr>
                <w:rFonts w:ascii="Times New Roman" w:hAnsi="Times New Roman"/>
                <w:sz w:val="20"/>
                <w:szCs w:val="20"/>
              </w:rPr>
            </w:pPr>
            <w:r w:rsidRPr="00593F97">
              <w:rPr>
                <w:rFonts w:ascii="Times New Roman" w:hAnsi="Times New Roman"/>
                <w:sz w:val="20"/>
                <w:szCs w:val="20"/>
              </w:rPr>
              <w:t>7: Savings</w:t>
            </w:r>
          </w:p>
          <w:p w14:paraId="3B7E8094" w14:textId="77777777" w:rsidR="00A92250" w:rsidRPr="00116E69" w:rsidRDefault="00A92250" w:rsidP="00811823">
            <w:pPr>
              <w:rPr>
                <w:rFonts w:ascii="Times New Roman" w:hAnsi="Times New Roman"/>
                <w:sz w:val="20"/>
                <w:szCs w:val="20"/>
              </w:rPr>
            </w:pPr>
            <w:r w:rsidRPr="00593F97">
              <w:rPr>
                <w:rFonts w:ascii="Times New Roman" w:hAnsi="Times New Roman"/>
                <w:sz w:val="20"/>
                <w:szCs w:val="20"/>
              </w:rPr>
              <w:t>8: Gift with no expectation of repayment</w:t>
            </w:r>
          </w:p>
        </w:tc>
        <w:tc>
          <w:tcPr>
            <w:tcW w:w="3510" w:type="dxa"/>
            <w:gridSpan w:val="2"/>
          </w:tcPr>
          <w:p w14:paraId="7F178F52" w14:textId="77777777" w:rsidR="00A92250" w:rsidRDefault="00A92250" w:rsidP="00811823">
            <w:pPr>
              <w:rPr>
                <w:rFonts w:ascii="Times New Roman" w:hAnsi="Times New Roman"/>
                <w:sz w:val="20"/>
                <w:szCs w:val="20"/>
              </w:rPr>
            </w:pPr>
            <w:r w:rsidRPr="00593F97">
              <w:rPr>
                <w:rFonts w:ascii="Times New Roman" w:hAnsi="Times New Roman"/>
                <w:sz w:val="20"/>
                <w:szCs w:val="20"/>
              </w:rPr>
              <w:t>9: Loan with expectation of repayment</w:t>
            </w:r>
          </w:p>
          <w:p w14:paraId="45E229A9" w14:textId="77777777" w:rsidR="00A92250" w:rsidRPr="00593F97" w:rsidRDefault="00A92250" w:rsidP="00811823">
            <w:pPr>
              <w:rPr>
                <w:rFonts w:ascii="Times New Roman" w:hAnsi="Times New Roman"/>
                <w:sz w:val="20"/>
                <w:szCs w:val="20"/>
              </w:rPr>
            </w:pPr>
            <w:r>
              <w:rPr>
                <w:rFonts w:ascii="Times New Roman" w:hAnsi="Times New Roman"/>
                <w:sz w:val="20"/>
                <w:szCs w:val="20"/>
              </w:rPr>
              <w:t>10: Investment</w:t>
            </w:r>
          </w:p>
          <w:p w14:paraId="10650F64" w14:textId="77777777" w:rsidR="00A92250" w:rsidRPr="00593F97" w:rsidRDefault="00A92250" w:rsidP="00811823">
            <w:pPr>
              <w:rPr>
                <w:rFonts w:ascii="Times New Roman" w:hAnsi="Times New Roman"/>
                <w:sz w:val="20"/>
                <w:szCs w:val="20"/>
              </w:rPr>
            </w:pPr>
            <w:r>
              <w:rPr>
                <w:rFonts w:ascii="Times New Roman" w:hAnsi="Times New Roman"/>
                <w:sz w:val="20"/>
                <w:szCs w:val="20"/>
              </w:rPr>
              <w:t>11</w:t>
            </w:r>
            <w:r w:rsidRPr="00593F97">
              <w:rPr>
                <w:rFonts w:ascii="Times New Roman" w:hAnsi="Times New Roman"/>
                <w:sz w:val="20"/>
                <w:szCs w:val="20"/>
              </w:rPr>
              <w:t>: Livestock</w:t>
            </w:r>
          </w:p>
          <w:p w14:paraId="100C1E63" w14:textId="77777777" w:rsidR="00A92250" w:rsidRPr="00593F97" w:rsidRDefault="00A92250" w:rsidP="00811823">
            <w:pPr>
              <w:rPr>
                <w:rFonts w:ascii="Times New Roman" w:hAnsi="Times New Roman"/>
                <w:sz w:val="20"/>
                <w:szCs w:val="20"/>
              </w:rPr>
            </w:pPr>
            <w:r>
              <w:rPr>
                <w:rFonts w:ascii="Times New Roman" w:hAnsi="Times New Roman"/>
                <w:sz w:val="20"/>
                <w:szCs w:val="20"/>
              </w:rPr>
              <w:t>12</w:t>
            </w:r>
            <w:r w:rsidRPr="00593F97">
              <w:rPr>
                <w:rFonts w:ascii="Times New Roman" w:hAnsi="Times New Roman"/>
                <w:sz w:val="20"/>
                <w:szCs w:val="20"/>
              </w:rPr>
              <w:t>: Celebration</w:t>
            </w:r>
          </w:p>
          <w:p w14:paraId="3BF67223" w14:textId="77777777" w:rsidR="00A92250" w:rsidRPr="00593F97" w:rsidRDefault="00A92250" w:rsidP="00811823">
            <w:pPr>
              <w:rPr>
                <w:rFonts w:ascii="Times New Roman" w:hAnsi="Times New Roman"/>
                <w:sz w:val="20"/>
                <w:szCs w:val="20"/>
              </w:rPr>
            </w:pPr>
            <w:r>
              <w:rPr>
                <w:rFonts w:ascii="Times New Roman" w:hAnsi="Times New Roman"/>
                <w:sz w:val="20"/>
                <w:szCs w:val="20"/>
              </w:rPr>
              <w:t>13</w:t>
            </w:r>
            <w:r w:rsidRPr="00593F97">
              <w:rPr>
                <w:rFonts w:ascii="Times New Roman" w:hAnsi="Times New Roman"/>
                <w:sz w:val="20"/>
                <w:szCs w:val="20"/>
              </w:rPr>
              <w:t>: Other _______________</w:t>
            </w:r>
          </w:p>
          <w:p w14:paraId="78858F10" w14:textId="77777777" w:rsidR="00A92250" w:rsidRPr="00116E69" w:rsidRDefault="00A92250" w:rsidP="00811823">
            <w:pPr>
              <w:tabs>
                <w:tab w:val="left" w:pos="3720"/>
                <w:tab w:val="left" w:pos="3840"/>
              </w:tabs>
              <w:rPr>
                <w:rFonts w:ascii="Times New Roman" w:hAnsi="Times New Roman"/>
                <w:sz w:val="20"/>
                <w:szCs w:val="20"/>
              </w:rPr>
            </w:pPr>
          </w:p>
        </w:tc>
      </w:tr>
    </w:tbl>
    <w:p w14:paraId="25EBF82F" w14:textId="77777777" w:rsidR="00A92250" w:rsidRPr="009C2642" w:rsidRDefault="00A92250" w:rsidP="00A92250"/>
    <w:p w14:paraId="4D656C0A" w14:textId="77777777" w:rsidR="00A92250" w:rsidRDefault="00A92250" w:rsidP="00EF3D53">
      <w:pPr>
        <w:rPr>
          <w:rFonts w:ascii="Cambria" w:hAnsi="Cambria"/>
        </w:rPr>
      </w:pPr>
    </w:p>
    <w:p w14:paraId="46EE8A3C" w14:textId="77777777" w:rsidR="00A92250" w:rsidRDefault="00A92250" w:rsidP="00EF3D53">
      <w:pPr>
        <w:rPr>
          <w:rFonts w:ascii="Cambria" w:hAnsi="Cambria"/>
        </w:rPr>
      </w:pPr>
    </w:p>
    <w:p w14:paraId="3D1009F4" w14:textId="4B41A2D1" w:rsidR="001B321E" w:rsidRPr="000A4A98" w:rsidRDefault="00D77B7A" w:rsidP="001B321E">
      <w:pPr>
        <w:rPr>
          <w:rFonts w:ascii="Cambria" w:hAnsi="Cambria" w:cs="Times New Roman"/>
        </w:rPr>
      </w:pPr>
      <w:r w:rsidRPr="00926437">
        <w:rPr>
          <w:rFonts w:ascii="Cambria" w:hAnsi="Cambria" w:cs="Times New Roman"/>
        </w:rPr>
        <w:t>A complementary approach</w:t>
      </w:r>
      <w:r w:rsidR="00926437">
        <w:rPr>
          <w:rFonts w:ascii="Cambria" w:hAnsi="Cambria" w:cs="Times New Roman"/>
        </w:rPr>
        <w:t xml:space="preserve"> to the above question</w:t>
      </w:r>
      <w:r w:rsidRPr="00926437">
        <w:rPr>
          <w:rFonts w:ascii="Cambria" w:hAnsi="Cambria" w:cs="Times New Roman"/>
        </w:rPr>
        <w:t xml:space="preserve"> is</w:t>
      </w:r>
      <w:r w:rsidR="00926437">
        <w:rPr>
          <w:rFonts w:ascii="Cambria" w:hAnsi="Cambria" w:cs="Times New Roman"/>
        </w:rPr>
        <w:t xml:space="preserve"> to use</w:t>
      </w:r>
      <w:r w:rsidRPr="00926437">
        <w:rPr>
          <w:rFonts w:ascii="Cambria" w:hAnsi="Cambria" w:cs="Times New Roman"/>
        </w:rPr>
        <w:t xml:space="preserve"> proportional</w:t>
      </w:r>
      <w:r w:rsidR="001B321E" w:rsidRPr="00926437">
        <w:rPr>
          <w:rFonts w:ascii="Cambria" w:hAnsi="Cambria" w:cs="Times New Roman"/>
        </w:rPr>
        <w:t xml:space="preserve"> bean piling exercises to obtain a</w:t>
      </w:r>
      <w:r w:rsidR="00F04234">
        <w:rPr>
          <w:rFonts w:ascii="Cambria" w:hAnsi="Cambria" w:cs="Times New Roman"/>
        </w:rPr>
        <w:t>n</w:t>
      </w:r>
      <w:r w:rsidR="001B321E" w:rsidRPr="00926437">
        <w:rPr>
          <w:rFonts w:ascii="Cambria" w:hAnsi="Cambria" w:cs="Times New Roman"/>
        </w:rPr>
        <w:t xml:space="preserve"> estimate of relative proportions – for example, </w:t>
      </w:r>
      <w:r w:rsidR="005F2CDA" w:rsidRPr="00926437">
        <w:rPr>
          <w:rFonts w:ascii="Cambria" w:hAnsi="Cambria" w:cs="Times New Roman"/>
        </w:rPr>
        <w:t xml:space="preserve">by ensuring </w:t>
      </w:r>
      <w:r w:rsidR="005F2CDA" w:rsidRPr="00926437">
        <w:rPr>
          <w:rFonts w:ascii="Cambria" w:hAnsi="Cambria" w:cs="Times New Roman"/>
        </w:rPr>
        <w:lastRenderedPageBreak/>
        <w:t>that recipients allocate the entire value of the gift across different piles</w:t>
      </w:r>
      <w:r w:rsidR="001B321E" w:rsidRPr="00926437">
        <w:rPr>
          <w:rFonts w:ascii="Cambria" w:hAnsi="Cambria" w:cs="Times New Roman"/>
        </w:rPr>
        <w:t>. Bean piling exercises can also be useful in understanding recipients’ own preferences regarding the proportion of cash and in-kind assistance desired, useful information for answering question 1e.</w:t>
      </w:r>
    </w:p>
    <w:p w14:paraId="0D82A216" w14:textId="77777777" w:rsidR="001B321E" w:rsidRDefault="001B321E" w:rsidP="00EF3D53">
      <w:pPr>
        <w:rPr>
          <w:rFonts w:ascii="Cambria" w:hAnsi="Cambria"/>
        </w:rPr>
      </w:pPr>
    </w:p>
    <w:p w14:paraId="3E725FD8" w14:textId="77777777" w:rsidR="00D25F4A" w:rsidRPr="006D4936" w:rsidRDefault="00D25F4A" w:rsidP="00D25F4A">
      <w:pPr>
        <w:rPr>
          <w:rFonts w:ascii="Cambria" w:hAnsi="Cambria"/>
          <w:i/>
          <w:u w:val="single"/>
        </w:rPr>
      </w:pPr>
      <w:r>
        <w:rPr>
          <w:rFonts w:ascii="Cambria" w:hAnsi="Cambria"/>
          <w:i/>
          <w:u w:val="single"/>
        </w:rPr>
        <w:t>Limitations of MPCs</w:t>
      </w:r>
    </w:p>
    <w:p w14:paraId="44D3C63F" w14:textId="77777777" w:rsidR="00D25F4A" w:rsidRPr="000A4A98" w:rsidRDefault="00D25F4A" w:rsidP="00D25F4A">
      <w:pPr>
        <w:rPr>
          <w:rFonts w:ascii="Cambria" w:hAnsi="Cambria"/>
        </w:rPr>
      </w:pPr>
      <w:r w:rsidRPr="000A4A98">
        <w:rPr>
          <w:rFonts w:ascii="Cambria" w:hAnsi="Cambria"/>
        </w:rPr>
        <w:t>One-time transfers may be spent differently than regularly re-occurring transfers. Therefore, MPCs provide a rough approximation of increases in demand.</w:t>
      </w:r>
    </w:p>
    <w:p w14:paraId="25801A01" w14:textId="77777777" w:rsidR="00D25F4A" w:rsidRPr="000A4A98" w:rsidRDefault="00D25F4A" w:rsidP="00EF3D53">
      <w:pPr>
        <w:rPr>
          <w:rFonts w:ascii="Cambria" w:hAnsi="Cambria"/>
        </w:rPr>
      </w:pPr>
    </w:p>
    <w:p w14:paraId="7E735ABA" w14:textId="034BD91A" w:rsidR="00EF3D53" w:rsidRPr="006D4936" w:rsidRDefault="006D4936" w:rsidP="00EF3D53">
      <w:pPr>
        <w:rPr>
          <w:rFonts w:ascii="Cambria" w:hAnsi="Cambria"/>
          <w:i/>
          <w:u w:val="single"/>
        </w:rPr>
      </w:pPr>
      <w:r w:rsidRPr="006D4936">
        <w:rPr>
          <w:rFonts w:ascii="Cambria" w:hAnsi="Cambria"/>
          <w:i/>
          <w:u w:val="single"/>
        </w:rPr>
        <w:t>Example of applying the MPC in northern Kenya</w:t>
      </w:r>
    </w:p>
    <w:p w14:paraId="2A6C9C0A" w14:textId="47711C1A" w:rsidR="00EF3D53" w:rsidRPr="000A4A98" w:rsidRDefault="007C472D" w:rsidP="00EF3D53">
      <w:pPr>
        <w:jc w:val="both"/>
        <w:rPr>
          <w:rFonts w:ascii="Cambria" w:hAnsi="Cambria"/>
        </w:rPr>
      </w:pPr>
      <w:r>
        <w:rPr>
          <w:rFonts w:ascii="Cambria" w:hAnsi="Cambria"/>
        </w:rPr>
        <w:t>In n</w:t>
      </w:r>
      <w:r w:rsidR="00EF3D53" w:rsidRPr="000A4A98">
        <w:rPr>
          <w:rFonts w:ascii="Cambria" w:hAnsi="Cambria"/>
        </w:rPr>
        <w:t>orthern Kenya, we estimated household marginal propensity to consume food (MPCF) from an incremental change in income in order to approximate the amount of cash transfer that a recipient household will use to pu</w:t>
      </w:r>
      <w:r>
        <w:rPr>
          <w:rFonts w:ascii="Cambria" w:hAnsi="Cambria"/>
        </w:rPr>
        <w:t xml:space="preserve">rchase food (Mude, </w:t>
      </w:r>
      <w:proofErr w:type="spellStart"/>
      <w:r>
        <w:rPr>
          <w:rFonts w:ascii="Cambria" w:hAnsi="Cambria"/>
        </w:rPr>
        <w:t>Ouma</w:t>
      </w:r>
      <w:proofErr w:type="spellEnd"/>
      <w:r>
        <w:rPr>
          <w:rFonts w:ascii="Cambria" w:hAnsi="Cambria"/>
        </w:rPr>
        <w:t>, and Lentz forthcoming</w:t>
      </w:r>
      <w:r w:rsidR="00EF3D53" w:rsidRPr="000A4A98">
        <w:rPr>
          <w:rFonts w:ascii="Cambria" w:hAnsi="Cambria"/>
        </w:rPr>
        <w:t>). To compute the MPCF, we asked each household how they would spend a one-time gift of Ksh2000 across several categories and computed the fraction to be spent on food. Households indicate that they are likely to spend between 42% and 53% of the gift on food.  In other words, these households are likely to spend almost half of any one-time cash transfer they receive on food. Given that a one-time gift could be spent differently than a regularly occurring transfer during food insecurity, we use our elicited MPCF as a lower bound to demand response for food and an MPCF of 75% as an upper bound for demand response for food.</w:t>
      </w:r>
    </w:p>
    <w:p w14:paraId="23AAF8E3" w14:textId="77777777" w:rsidR="00EF3D53" w:rsidRPr="000A4A98" w:rsidRDefault="00EF3D53" w:rsidP="00EF3D53">
      <w:pPr>
        <w:rPr>
          <w:rFonts w:ascii="Cambria" w:hAnsi="Cambria"/>
          <w:b/>
        </w:rPr>
      </w:pPr>
    </w:p>
    <w:p w14:paraId="2E37B03F" w14:textId="374700F8" w:rsidR="00EF3D53" w:rsidRPr="000A4A98" w:rsidRDefault="00156FC2" w:rsidP="00EF3D53">
      <w:pPr>
        <w:rPr>
          <w:rFonts w:ascii="Cambria" w:hAnsi="Cambria"/>
          <w:b/>
        </w:rPr>
      </w:pPr>
      <w:r>
        <w:rPr>
          <w:rFonts w:ascii="Cambria" w:hAnsi="Cambria"/>
          <w:b/>
        </w:rPr>
        <w:t>Terms of t</w:t>
      </w:r>
      <w:r w:rsidR="00EF3D53" w:rsidRPr="000A4A98">
        <w:rPr>
          <w:rFonts w:ascii="Cambria" w:hAnsi="Cambria"/>
          <w:b/>
        </w:rPr>
        <w:t>rade</w:t>
      </w:r>
    </w:p>
    <w:p w14:paraId="3FEC603A" w14:textId="76196497" w:rsidR="00B82260" w:rsidRDefault="00EF3D53" w:rsidP="00EF3D53">
      <w:pPr>
        <w:rPr>
          <w:rFonts w:ascii="Cambria" w:hAnsi="Cambria"/>
        </w:rPr>
      </w:pPr>
      <w:r w:rsidRPr="000A4A98">
        <w:rPr>
          <w:rFonts w:ascii="Cambria" w:hAnsi="Cambria"/>
        </w:rPr>
        <w:t>The terms of trade (</w:t>
      </w:r>
      <w:proofErr w:type="spellStart"/>
      <w:r w:rsidRPr="000A4A98">
        <w:rPr>
          <w:rFonts w:ascii="Cambria" w:hAnsi="Cambria"/>
        </w:rPr>
        <w:t>ToT</w:t>
      </w:r>
      <w:proofErr w:type="spellEnd"/>
      <w:r w:rsidRPr="000A4A98">
        <w:rPr>
          <w:rFonts w:ascii="Cambria" w:hAnsi="Cambria"/>
        </w:rPr>
        <w:t xml:space="preserve">) is a ratio of two prices. Usually, the numerator is the source of income, and the denominator is the price of the food staple. </w:t>
      </w:r>
      <w:r w:rsidR="00B82260">
        <w:rPr>
          <w:rFonts w:ascii="Cambria" w:hAnsi="Cambria"/>
        </w:rPr>
        <w:t xml:space="preserve">The choice of </w:t>
      </w:r>
      <w:r w:rsidR="00B82260" w:rsidRPr="000A4A98">
        <w:rPr>
          <w:rFonts w:ascii="Cambria" w:hAnsi="Cambria"/>
        </w:rPr>
        <w:t xml:space="preserve">which two prices to use as a </w:t>
      </w:r>
      <w:proofErr w:type="spellStart"/>
      <w:r w:rsidR="00B82260" w:rsidRPr="000A4A98">
        <w:rPr>
          <w:rFonts w:ascii="Cambria" w:hAnsi="Cambria"/>
        </w:rPr>
        <w:t>ToT</w:t>
      </w:r>
      <w:proofErr w:type="spellEnd"/>
      <w:r w:rsidR="00B82260" w:rsidRPr="000A4A98">
        <w:rPr>
          <w:rFonts w:ascii="Cambria" w:hAnsi="Cambria"/>
        </w:rPr>
        <w:t xml:space="preserve"> ratio will depend on the local livelihood and consumption patterns. For example, a common </w:t>
      </w:r>
      <w:proofErr w:type="spellStart"/>
      <w:r w:rsidR="00B82260" w:rsidRPr="000A4A98">
        <w:rPr>
          <w:rFonts w:ascii="Cambria" w:hAnsi="Cambria"/>
        </w:rPr>
        <w:t>ToT</w:t>
      </w:r>
      <w:proofErr w:type="spellEnd"/>
      <w:r w:rsidR="00B82260" w:rsidRPr="000A4A98">
        <w:rPr>
          <w:rFonts w:ascii="Cambria" w:hAnsi="Cambria"/>
        </w:rPr>
        <w:t xml:space="preserve"> in pastoral areas is the ratio of livestock price over the price of the main cereal purchased for consumption. Other common </w:t>
      </w:r>
      <w:proofErr w:type="spellStart"/>
      <w:r w:rsidR="00B82260" w:rsidRPr="000A4A98">
        <w:rPr>
          <w:rFonts w:ascii="Cambria" w:hAnsi="Cambria"/>
        </w:rPr>
        <w:t>ToTs</w:t>
      </w:r>
      <w:proofErr w:type="spellEnd"/>
      <w:r w:rsidR="00B82260" w:rsidRPr="000A4A98">
        <w:rPr>
          <w:rFonts w:ascii="Cambria" w:hAnsi="Cambria"/>
        </w:rPr>
        <w:t xml:space="preserve"> use wage labor in the numerator.</w:t>
      </w:r>
    </w:p>
    <w:p w14:paraId="783CFF5C" w14:textId="77777777" w:rsidR="00EF3D53" w:rsidRPr="000A4A98" w:rsidRDefault="00EF3D53" w:rsidP="00EF3D53">
      <w:pPr>
        <w:rPr>
          <w:rFonts w:ascii="Cambria" w:hAnsi="Cambria"/>
        </w:rPr>
      </w:pPr>
    </w:p>
    <w:p w14:paraId="571D63A2" w14:textId="4DBCCD95" w:rsidR="00EF3D53" w:rsidRPr="00E05262" w:rsidRDefault="00E05262" w:rsidP="00EF3D53">
      <w:pPr>
        <w:rPr>
          <w:rFonts w:ascii="Cambria" w:hAnsi="Cambria"/>
          <w:i/>
          <w:u w:val="single"/>
        </w:rPr>
      </w:pPr>
      <w:r w:rsidRPr="00E05262">
        <w:rPr>
          <w:rFonts w:ascii="Cambria" w:hAnsi="Cambria"/>
          <w:i/>
          <w:u w:val="single"/>
        </w:rPr>
        <w:t xml:space="preserve">How does </w:t>
      </w:r>
      <w:proofErr w:type="spellStart"/>
      <w:r w:rsidRPr="00E05262">
        <w:rPr>
          <w:rFonts w:ascii="Cambria" w:hAnsi="Cambria"/>
          <w:i/>
          <w:u w:val="single"/>
        </w:rPr>
        <w:t>ToT</w:t>
      </w:r>
      <w:proofErr w:type="spellEnd"/>
      <w:r w:rsidRPr="00E05262">
        <w:rPr>
          <w:rFonts w:ascii="Cambria" w:hAnsi="Cambria"/>
          <w:i/>
          <w:u w:val="single"/>
        </w:rPr>
        <w:t xml:space="preserve"> assist </w:t>
      </w:r>
      <w:r w:rsidR="00EF3D53" w:rsidRPr="00E05262">
        <w:rPr>
          <w:rFonts w:ascii="Cambria" w:hAnsi="Cambria"/>
          <w:i/>
          <w:u w:val="single"/>
        </w:rPr>
        <w:t>in answering th</w:t>
      </w:r>
      <w:r w:rsidRPr="00E05262">
        <w:rPr>
          <w:rFonts w:ascii="Cambria" w:hAnsi="Cambria"/>
          <w:i/>
          <w:u w:val="single"/>
        </w:rPr>
        <w:t>e relevant MIFIRA sub-question?</w:t>
      </w:r>
    </w:p>
    <w:p w14:paraId="7C3E239B" w14:textId="77777777" w:rsidR="006B657B" w:rsidRPr="002D656F" w:rsidRDefault="006B657B" w:rsidP="006B657B">
      <w:pPr>
        <w:pStyle w:val="ListParagraph"/>
        <w:ind w:left="0"/>
        <w:rPr>
          <w:rFonts w:ascii="Cambria" w:hAnsi="Cambria"/>
          <w:i/>
        </w:rPr>
      </w:pPr>
      <w:r w:rsidRPr="002D656F">
        <w:rPr>
          <w:rFonts w:ascii="Cambria" w:hAnsi="Cambria"/>
          <w:i/>
        </w:rPr>
        <w:t>1b: How will local demand respond to transfers?</w:t>
      </w:r>
    </w:p>
    <w:p w14:paraId="5BAB4CF8" w14:textId="304F377C" w:rsidR="00AC24F1" w:rsidRPr="000A4A98" w:rsidRDefault="00EF3D53" w:rsidP="00AC24F1">
      <w:pPr>
        <w:rPr>
          <w:rFonts w:ascii="Cambria" w:hAnsi="Cambria"/>
        </w:rPr>
      </w:pPr>
      <w:r w:rsidRPr="000A4A98">
        <w:rPr>
          <w:rFonts w:ascii="Cambria" w:hAnsi="Cambria"/>
        </w:rPr>
        <w:t xml:space="preserve">Changes in the </w:t>
      </w:r>
      <w:proofErr w:type="spellStart"/>
      <w:r w:rsidRPr="000A4A98">
        <w:rPr>
          <w:rFonts w:ascii="Cambria" w:hAnsi="Cambria"/>
        </w:rPr>
        <w:t>ToT</w:t>
      </w:r>
      <w:proofErr w:type="spellEnd"/>
      <w:r w:rsidRPr="000A4A98">
        <w:rPr>
          <w:rFonts w:ascii="Cambria" w:hAnsi="Cambria"/>
        </w:rPr>
        <w:t xml:space="preserve"> indicate that households may no longer be able to purchase same basket of goods. </w:t>
      </w:r>
      <w:r w:rsidR="00AC24F1" w:rsidRPr="000A4A98">
        <w:rPr>
          <w:rFonts w:ascii="Cambria" w:hAnsi="Cambria"/>
        </w:rPr>
        <w:t xml:space="preserve">This ratio allows us to examine household purchasing power. </w:t>
      </w:r>
      <w:r w:rsidR="00AC24F1">
        <w:rPr>
          <w:rFonts w:ascii="Cambria" w:hAnsi="Cambria"/>
        </w:rPr>
        <w:t xml:space="preserve">The </w:t>
      </w:r>
      <w:proofErr w:type="spellStart"/>
      <w:r w:rsidR="00AC24F1" w:rsidRPr="000A4A98">
        <w:rPr>
          <w:rFonts w:ascii="Cambria" w:hAnsi="Cambria"/>
        </w:rPr>
        <w:t>ToT</w:t>
      </w:r>
      <w:proofErr w:type="spellEnd"/>
      <w:r w:rsidR="00AC24F1" w:rsidRPr="000A4A98">
        <w:rPr>
          <w:rFonts w:ascii="Cambria" w:hAnsi="Cambria"/>
        </w:rPr>
        <w:t xml:space="preserve"> </w:t>
      </w:r>
      <w:r w:rsidR="0028337C">
        <w:rPr>
          <w:rFonts w:ascii="Cambria" w:hAnsi="Cambria"/>
        </w:rPr>
        <w:t>can be an</w:t>
      </w:r>
      <w:r w:rsidR="00AC24F1">
        <w:rPr>
          <w:rFonts w:ascii="Cambria" w:hAnsi="Cambria"/>
        </w:rPr>
        <w:t xml:space="preserve"> </w:t>
      </w:r>
      <w:r w:rsidR="00AC24F1" w:rsidRPr="000A4A98">
        <w:rPr>
          <w:rFonts w:ascii="Cambria" w:hAnsi="Cambria"/>
        </w:rPr>
        <w:t>important source of early warn</w:t>
      </w:r>
      <w:r w:rsidR="0028337C">
        <w:rPr>
          <w:rFonts w:ascii="Cambria" w:hAnsi="Cambria"/>
        </w:rPr>
        <w:t xml:space="preserve">ing and monitoring information, especially </w:t>
      </w:r>
      <w:r w:rsidR="005B1EC5">
        <w:rPr>
          <w:rFonts w:ascii="Cambria" w:hAnsi="Cambria"/>
        </w:rPr>
        <w:t xml:space="preserve">when compiled over time </w:t>
      </w:r>
      <w:r w:rsidR="0028337C">
        <w:rPr>
          <w:rFonts w:ascii="Cambria" w:hAnsi="Cambria"/>
        </w:rPr>
        <w:t>so that changes can be identified</w:t>
      </w:r>
      <w:r w:rsidR="00AC24F1" w:rsidRPr="000A4A98">
        <w:rPr>
          <w:rFonts w:ascii="Cambria" w:hAnsi="Cambria"/>
        </w:rPr>
        <w:t>.</w:t>
      </w:r>
      <w:r w:rsidR="00AC24F1" w:rsidRPr="000A4A98">
        <w:rPr>
          <w:rFonts w:ascii="Cambria" w:hAnsi="Cambria"/>
        </w:rPr>
        <w:tab/>
      </w:r>
    </w:p>
    <w:p w14:paraId="2AD35FAC" w14:textId="77777777" w:rsidR="00EF3D53" w:rsidRPr="000A4A98" w:rsidRDefault="00EF3D53" w:rsidP="00EF3D53">
      <w:pPr>
        <w:rPr>
          <w:rFonts w:ascii="Cambria" w:hAnsi="Cambria"/>
        </w:rPr>
      </w:pPr>
    </w:p>
    <w:p w14:paraId="7C7D753A" w14:textId="4EA0A078" w:rsidR="000E7FBA" w:rsidRPr="00D82701" w:rsidRDefault="000E7FBA" w:rsidP="000E7FBA">
      <w:pPr>
        <w:rPr>
          <w:rFonts w:ascii="Cambria" w:hAnsi="Cambria"/>
        </w:rPr>
      </w:pPr>
      <w:r>
        <w:rPr>
          <w:rFonts w:ascii="Cambria" w:hAnsi="Cambria"/>
          <w:i/>
          <w:u w:val="single"/>
        </w:rPr>
        <w:t>How to estimate and use terms of trade</w:t>
      </w:r>
    </w:p>
    <w:p w14:paraId="412DE202" w14:textId="77777777" w:rsidR="00EF3D53" w:rsidRPr="000A4A98" w:rsidRDefault="00EF3D53" w:rsidP="00EF3D53">
      <w:pPr>
        <w:rPr>
          <w:rFonts w:ascii="Cambria" w:hAnsi="Cambria"/>
        </w:rPr>
      </w:pPr>
      <w:r w:rsidRPr="000A4A98">
        <w:rPr>
          <w:rFonts w:ascii="Cambria" w:hAnsi="Cambria"/>
        </w:rPr>
        <w:t xml:space="preserve">In </w:t>
      </w:r>
      <w:proofErr w:type="spellStart"/>
      <w:r w:rsidRPr="000A4A98">
        <w:rPr>
          <w:rFonts w:ascii="Cambria" w:hAnsi="Cambria"/>
        </w:rPr>
        <w:t>ToTs</w:t>
      </w:r>
      <w:proofErr w:type="spellEnd"/>
      <w:r w:rsidRPr="000A4A98">
        <w:rPr>
          <w:rFonts w:ascii="Cambria" w:hAnsi="Cambria"/>
        </w:rPr>
        <w:t>, the main livelihood measure is in the numerator while the main staple commodity purchased is in the denominator (WFP 2008.  “PDPE Market Analysis Tool: Terms of Trade” p. 6):</w:t>
      </w:r>
    </w:p>
    <w:p w14:paraId="184431CF" w14:textId="77777777" w:rsidR="00EF3D53" w:rsidRPr="000A4A98" w:rsidRDefault="00EF3D53" w:rsidP="00EF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rebuchet MS"/>
          <w:sz w:val="22"/>
          <w:szCs w:val="22"/>
        </w:rPr>
      </w:pPr>
    </w:p>
    <w:p w14:paraId="0B3785D4" w14:textId="77777777" w:rsidR="00EF3D53" w:rsidRPr="000A4A98" w:rsidRDefault="00EF3D53" w:rsidP="00EF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0A4A98">
        <w:rPr>
          <w:rFonts w:ascii="Cambria" w:hAnsi="Cambria" w:cs="Trebuchet MS"/>
          <w:sz w:val="22"/>
          <w:szCs w:val="22"/>
        </w:rPr>
        <w:t xml:space="preserve">Terms of trade for good i and j </w:t>
      </w:r>
    </w:p>
    <w:p w14:paraId="6C15CF42" w14:textId="77777777" w:rsidR="00EF3D53" w:rsidRPr="000A4A98" w:rsidRDefault="00EF3D53" w:rsidP="00EF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roofErr w:type="spellStart"/>
      <w:r w:rsidRPr="000A4A98">
        <w:rPr>
          <w:rFonts w:ascii="Cambria" w:hAnsi="Cambria" w:cs="Times"/>
          <w:i/>
          <w:iCs/>
        </w:rPr>
        <w:t>TOTij</w:t>
      </w:r>
      <w:proofErr w:type="spellEnd"/>
      <w:r w:rsidRPr="000A4A98">
        <w:rPr>
          <w:rFonts w:ascii="Cambria" w:hAnsi="Cambria" w:cs="Helvetica"/>
        </w:rPr>
        <w:t xml:space="preserve">  = </w:t>
      </w:r>
      <w:r w:rsidRPr="000A4A98">
        <w:rPr>
          <w:rFonts w:ascii="Cambria" w:hAnsi="Cambria" w:cs="Trebuchet MS"/>
          <w:sz w:val="22"/>
          <w:szCs w:val="22"/>
        </w:rPr>
        <w:t xml:space="preserve">(Price of good i)/(Price of good j) </w:t>
      </w:r>
    </w:p>
    <w:p w14:paraId="1BBD0E7D" w14:textId="77777777" w:rsidR="00EF3D53" w:rsidRPr="000A4A98" w:rsidRDefault="00EF3D53" w:rsidP="00EF3D53">
      <w:pPr>
        <w:rPr>
          <w:rFonts w:ascii="Cambria" w:hAnsi="Cambria"/>
        </w:rPr>
      </w:pPr>
    </w:p>
    <w:p w14:paraId="4AD42136" w14:textId="0B143D0A" w:rsidR="001C16EE" w:rsidRPr="000A4A98" w:rsidRDefault="001C16EE" w:rsidP="00EF3D53">
      <w:pPr>
        <w:rPr>
          <w:rFonts w:ascii="Cambria" w:hAnsi="Cambria"/>
        </w:rPr>
      </w:pPr>
      <w:r w:rsidRPr="000A4A98">
        <w:rPr>
          <w:rFonts w:ascii="Cambria" w:hAnsi="Cambria"/>
        </w:rPr>
        <w:lastRenderedPageBreak/>
        <w:t>Be sure to use the same currency and physical units (e.g., local currency and metric tons).</w:t>
      </w:r>
    </w:p>
    <w:p w14:paraId="470AF98C" w14:textId="77777777" w:rsidR="001C16EE" w:rsidRDefault="001C16EE" w:rsidP="00EF3D53">
      <w:pPr>
        <w:rPr>
          <w:rFonts w:ascii="Cambria" w:hAnsi="Cambria"/>
        </w:rPr>
      </w:pPr>
    </w:p>
    <w:p w14:paraId="57D797DF" w14:textId="77777777" w:rsidR="00881535" w:rsidRPr="000A4A98" w:rsidRDefault="00881535" w:rsidP="00881535">
      <w:pPr>
        <w:rPr>
          <w:rFonts w:ascii="Cambria" w:hAnsi="Cambria"/>
        </w:rPr>
      </w:pPr>
      <w:r w:rsidRPr="000A4A98">
        <w:rPr>
          <w:rFonts w:ascii="Cambria" w:hAnsi="Cambria"/>
        </w:rPr>
        <w:t xml:space="preserve">As the </w:t>
      </w:r>
      <w:proofErr w:type="spellStart"/>
      <w:r w:rsidRPr="000A4A98">
        <w:rPr>
          <w:rFonts w:ascii="Cambria" w:hAnsi="Cambria"/>
        </w:rPr>
        <w:t>ToT</w:t>
      </w:r>
      <w:proofErr w:type="spellEnd"/>
      <w:r w:rsidRPr="000A4A98">
        <w:rPr>
          <w:rFonts w:ascii="Cambria" w:hAnsi="Cambria"/>
        </w:rPr>
        <w:t xml:space="preserve"> declines, the livelihood price is decreasing relative to the staple price, potentially indicating decreased ability to purchase the staple commodity.</w:t>
      </w:r>
    </w:p>
    <w:p w14:paraId="33301D0F" w14:textId="77777777" w:rsidR="00881535" w:rsidRDefault="00881535" w:rsidP="00EF3D53">
      <w:pPr>
        <w:rPr>
          <w:rFonts w:ascii="Cambria" w:hAnsi="Cambria"/>
        </w:rPr>
      </w:pPr>
    </w:p>
    <w:p w14:paraId="20BF5E11" w14:textId="0381A952" w:rsidR="00BB0C4F" w:rsidRPr="00BB0C4F" w:rsidRDefault="008A301E" w:rsidP="00BB0C4F">
      <w:pPr>
        <w:rPr>
          <w:rFonts w:ascii="Cambria" w:hAnsi="Cambria"/>
        </w:rPr>
      </w:pPr>
      <w:r w:rsidRPr="00BB0C4F">
        <w:rPr>
          <w:rFonts w:ascii="Cambria" w:hAnsi="Cambria"/>
        </w:rPr>
        <w:t xml:space="preserve">Sources of information on numerators include income studies and key informant interviews. Ask what is/are the main cash income sources of these groups, such as the sale of a cash crop, livestock or daily </w:t>
      </w:r>
      <w:proofErr w:type="spellStart"/>
      <w:r w:rsidRPr="00BB0C4F">
        <w:rPr>
          <w:rFonts w:ascii="Cambria" w:hAnsi="Cambria"/>
        </w:rPr>
        <w:t>labour</w:t>
      </w:r>
      <w:proofErr w:type="spellEnd"/>
      <w:r w:rsidRPr="00BB0C4F">
        <w:rPr>
          <w:rFonts w:ascii="Cambria" w:hAnsi="Cambria"/>
        </w:rPr>
        <w:t>?</w:t>
      </w:r>
      <w:r w:rsidR="00BB0C4F" w:rsidRPr="00BB0C4F">
        <w:rPr>
          <w:rFonts w:ascii="Cambria" w:hAnsi="Cambria"/>
        </w:rPr>
        <w:t xml:space="preserve"> </w:t>
      </w:r>
      <w:r w:rsidRPr="00BB0C4F">
        <w:rPr>
          <w:rFonts w:ascii="Cambria" w:hAnsi="Cambria"/>
        </w:rPr>
        <w:t xml:space="preserve"> </w:t>
      </w:r>
      <w:r w:rsidR="00517CE4" w:rsidRPr="00BB0C4F">
        <w:rPr>
          <w:rFonts w:ascii="Cambria" w:hAnsi="Cambria"/>
        </w:rPr>
        <w:t>Sources of information on denominators include c</w:t>
      </w:r>
      <w:r w:rsidR="0036018A" w:rsidRPr="00BB0C4F">
        <w:rPr>
          <w:rFonts w:ascii="Cambria" w:hAnsi="Cambria"/>
        </w:rPr>
        <w:t>onsumption and expenditure studi</w:t>
      </w:r>
      <w:r w:rsidR="00517CE4" w:rsidRPr="00BB0C4F">
        <w:rPr>
          <w:rFonts w:ascii="Cambria" w:hAnsi="Cambria"/>
        </w:rPr>
        <w:t>es and key informant interviews</w:t>
      </w:r>
      <w:r w:rsidR="0036018A" w:rsidRPr="00BB0C4F">
        <w:rPr>
          <w:rFonts w:ascii="Cambria" w:hAnsi="Cambria"/>
        </w:rPr>
        <w:t>.</w:t>
      </w:r>
      <w:r w:rsidRPr="00BB0C4F">
        <w:rPr>
          <w:rFonts w:ascii="Cambria" w:hAnsi="Cambria"/>
        </w:rPr>
        <w:t xml:space="preserve"> Ask what is/are the main staple foods consumed by these groups?</w:t>
      </w:r>
      <w:r w:rsidR="00BB0C4F" w:rsidRPr="00BB0C4F">
        <w:rPr>
          <w:rFonts w:ascii="Cambria" w:hAnsi="Cambria"/>
        </w:rPr>
        <w:t xml:space="preserve"> Secondary sources may have collected this information. Crop and livestock prices may be available from the FAO, ministry of agriculture, and WFP while wages may be available from the ministry of labor and bureau of statistics. </w:t>
      </w:r>
    </w:p>
    <w:p w14:paraId="59B190D4" w14:textId="75B67D9E" w:rsidR="0036018A" w:rsidRPr="00BD3F99" w:rsidRDefault="00F54D8A" w:rsidP="00BD3F99">
      <w:pPr>
        <w:rPr>
          <w:rFonts w:ascii="Cambria" w:hAnsi="Cambria"/>
        </w:rPr>
      </w:pPr>
      <w:r>
        <w:rPr>
          <w:rFonts w:ascii="Cambria" w:hAnsi="Cambria"/>
        </w:rPr>
        <w:br/>
      </w:r>
      <w:r w:rsidR="00E61C53">
        <w:rPr>
          <w:rFonts w:ascii="Cambria" w:hAnsi="Cambria"/>
        </w:rPr>
        <w:t xml:space="preserve">When compiling </w:t>
      </w:r>
      <w:proofErr w:type="spellStart"/>
      <w:r w:rsidR="00E61C53">
        <w:rPr>
          <w:rFonts w:ascii="Cambria" w:hAnsi="Cambria"/>
        </w:rPr>
        <w:t>ToTs</w:t>
      </w:r>
      <w:proofErr w:type="spellEnd"/>
      <w:r w:rsidR="00E61C53">
        <w:rPr>
          <w:rFonts w:ascii="Cambria" w:hAnsi="Cambria"/>
        </w:rPr>
        <w:t>, focus on the income sources and food consumption of</w:t>
      </w:r>
      <w:r w:rsidR="00E61C53" w:rsidRPr="0050468D">
        <w:rPr>
          <w:rFonts w:ascii="Cambria" w:hAnsi="Cambria"/>
        </w:rPr>
        <w:t xml:space="preserve"> the target groups or</w:t>
      </w:r>
      <w:r w:rsidR="00E61C53">
        <w:rPr>
          <w:rFonts w:ascii="Cambria" w:hAnsi="Cambria"/>
        </w:rPr>
        <w:t xml:space="preserve"> livelihood groups of interest.</w:t>
      </w:r>
      <w:r w:rsidR="00517CE4">
        <w:rPr>
          <w:rFonts w:ascii="Cambria" w:hAnsi="Cambria"/>
        </w:rPr>
        <w:t xml:space="preserve"> </w:t>
      </w:r>
      <w:r w:rsidR="0036018A" w:rsidRPr="00BD3F99">
        <w:rPr>
          <w:rFonts w:ascii="Cambria" w:hAnsi="Cambria"/>
        </w:rPr>
        <w:t xml:space="preserve">In communities with diverse income sources or staple foods, compiling and monitoring a few </w:t>
      </w:r>
      <w:proofErr w:type="spellStart"/>
      <w:r w:rsidR="0036018A" w:rsidRPr="00BD3F99">
        <w:rPr>
          <w:rFonts w:ascii="Cambria" w:hAnsi="Cambria"/>
        </w:rPr>
        <w:t>ToTs</w:t>
      </w:r>
      <w:proofErr w:type="spellEnd"/>
      <w:r w:rsidR="0036018A" w:rsidRPr="00BD3F99">
        <w:rPr>
          <w:rFonts w:ascii="Cambria" w:hAnsi="Cambria"/>
        </w:rPr>
        <w:t xml:space="preserve"> may be more informative than focusing on just one ratio.</w:t>
      </w:r>
    </w:p>
    <w:p w14:paraId="4D96B1DE" w14:textId="77777777" w:rsidR="00EF3D53" w:rsidRPr="000A4A98" w:rsidRDefault="00EF3D53" w:rsidP="00EF3D53">
      <w:pPr>
        <w:rPr>
          <w:rFonts w:ascii="Cambria" w:hAnsi="Cambria"/>
        </w:rPr>
      </w:pPr>
    </w:p>
    <w:p w14:paraId="293276BA" w14:textId="528C3557" w:rsidR="00EF3D53" w:rsidRPr="009E3E73" w:rsidRDefault="00EF3D53" w:rsidP="00EF3D53">
      <w:pPr>
        <w:rPr>
          <w:rFonts w:ascii="Cambria" w:hAnsi="Cambria"/>
          <w:i/>
          <w:u w:val="single"/>
        </w:rPr>
      </w:pPr>
      <w:r w:rsidRPr="009E3E73">
        <w:rPr>
          <w:rFonts w:ascii="Cambria" w:hAnsi="Cambria"/>
          <w:i/>
          <w:u w:val="single"/>
        </w:rPr>
        <w:t xml:space="preserve">Limitations of the </w:t>
      </w:r>
      <w:proofErr w:type="spellStart"/>
      <w:r w:rsidR="009E3E73">
        <w:rPr>
          <w:rFonts w:ascii="Cambria" w:hAnsi="Cambria"/>
          <w:i/>
          <w:u w:val="single"/>
        </w:rPr>
        <w:t>ToT</w:t>
      </w:r>
      <w:proofErr w:type="spellEnd"/>
    </w:p>
    <w:p w14:paraId="2CA9ECD8" w14:textId="77777777" w:rsidR="0003026A" w:rsidRDefault="00EF3D53" w:rsidP="00EF3D53">
      <w:pPr>
        <w:rPr>
          <w:rFonts w:ascii="Cambria" w:hAnsi="Cambria"/>
        </w:rPr>
      </w:pPr>
      <w:r w:rsidRPr="000A4A98">
        <w:rPr>
          <w:rFonts w:ascii="Cambria" w:hAnsi="Cambria"/>
        </w:rPr>
        <w:t xml:space="preserve">The </w:t>
      </w:r>
      <w:proofErr w:type="spellStart"/>
      <w:r w:rsidRPr="000A4A98">
        <w:rPr>
          <w:rFonts w:ascii="Cambria" w:hAnsi="Cambria"/>
        </w:rPr>
        <w:t>ToT</w:t>
      </w:r>
      <w:proofErr w:type="spellEnd"/>
      <w:r w:rsidRPr="000A4A98">
        <w:rPr>
          <w:rFonts w:ascii="Cambria" w:hAnsi="Cambria"/>
        </w:rPr>
        <w:t xml:space="preserve"> does </w:t>
      </w:r>
      <w:r w:rsidR="00B35366" w:rsidRPr="000A4A98">
        <w:rPr>
          <w:rFonts w:ascii="Cambria" w:hAnsi="Cambria"/>
        </w:rPr>
        <w:t xml:space="preserve">not </w:t>
      </w:r>
      <w:r w:rsidRPr="000A4A98">
        <w:rPr>
          <w:rFonts w:ascii="Cambria" w:hAnsi="Cambria"/>
        </w:rPr>
        <w:t xml:space="preserve">reflect the possible mitigating effects of households switching to substitutes and can therefore be misleading. In cases where households consume a wide variety of staples, or substitute freely across staples, price increases in the denominator are not necessarily indicative of worsening food insecurity. Similarly, price changes in the numerator may be less informative for communities with diverse sources of income. </w:t>
      </w:r>
    </w:p>
    <w:p w14:paraId="486B38A8" w14:textId="77777777" w:rsidR="0003026A" w:rsidRDefault="0003026A" w:rsidP="00EF3D53">
      <w:pPr>
        <w:rPr>
          <w:rFonts w:ascii="Cambria" w:hAnsi="Cambria"/>
        </w:rPr>
      </w:pPr>
    </w:p>
    <w:p w14:paraId="100198B0" w14:textId="0DEFED31" w:rsidR="00EF3D53" w:rsidRPr="000A4A98" w:rsidRDefault="00EF3D53" w:rsidP="00EF3D53">
      <w:pPr>
        <w:rPr>
          <w:rFonts w:ascii="Cambria" w:hAnsi="Cambria"/>
        </w:rPr>
      </w:pPr>
      <w:proofErr w:type="spellStart"/>
      <w:r w:rsidRPr="000A4A98">
        <w:rPr>
          <w:rFonts w:ascii="Cambria" w:hAnsi="Cambria"/>
        </w:rPr>
        <w:t>ToTs</w:t>
      </w:r>
      <w:proofErr w:type="spellEnd"/>
      <w:r w:rsidRPr="000A4A98">
        <w:rPr>
          <w:rFonts w:ascii="Cambria" w:hAnsi="Cambria"/>
        </w:rPr>
        <w:t xml:space="preserve"> using different numerators or denominators are not comparable. </w:t>
      </w:r>
    </w:p>
    <w:p w14:paraId="75047862" w14:textId="77777777" w:rsidR="009F0052" w:rsidRPr="000A4A98" w:rsidRDefault="009F0052" w:rsidP="00EF3D53">
      <w:pPr>
        <w:rPr>
          <w:rFonts w:ascii="Cambria" w:hAnsi="Cambria"/>
        </w:rPr>
      </w:pPr>
    </w:p>
    <w:p w14:paraId="478B3466" w14:textId="03DB074E" w:rsidR="009F0052" w:rsidRPr="000A4A98" w:rsidRDefault="009F0052" w:rsidP="00EF3D53">
      <w:pPr>
        <w:rPr>
          <w:rFonts w:ascii="Cambria" w:hAnsi="Cambria"/>
        </w:rPr>
      </w:pPr>
      <w:r w:rsidRPr="000A4A98">
        <w:rPr>
          <w:rFonts w:ascii="Cambria" w:hAnsi="Cambria"/>
        </w:rPr>
        <w:t xml:space="preserve">The </w:t>
      </w:r>
      <w:proofErr w:type="spellStart"/>
      <w:r w:rsidRPr="000A4A98">
        <w:rPr>
          <w:rFonts w:ascii="Cambria" w:hAnsi="Cambria"/>
        </w:rPr>
        <w:t>ToT</w:t>
      </w:r>
      <w:proofErr w:type="spellEnd"/>
      <w:r w:rsidRPr="000A4A98">
        <w:rPr>
          <w:rFonts w:ascii="Cambria" w:hAnsi="Cambria"/>
        </w:rPr>
        <w:t xml:space="preserve"> also does not identify the market whose price changes are driving the </w:t>
      </w:r>
      <w:proofErr w:type="spellStart"/>
      <w:r w:rsidRPr="000A4A98">
        <w:rPr>
          <w:rFonts w:ascii="Cambria" w:hAnsi="Cambria"/>
        </w:rPr>
        <w:t>ToT</w:t>
      </w:r>
      <w:proofErr w:type="spellEnd"/>
      <w:r w:rsidRPr="000A4A98">
        <w:rPr>
          <w:rFonts w:ascii="Cambria" w:hAnsi="Cambria"/>
        </w:rPr>
        <w:t xml:space="preserve"> change</w:t>
      </w:r>
      <w:r w:rsidR="00261B10" w:rsidRPr="000A4A98">
        <w:rPr>
          <w:rFonts w:ascii="Cambria" w:hAnsi="Cambria"/>
        </w:rPr>
        <w:t xml:space="preserve"> (i.e., is the numerator, denominator, or both changing?)</w:t>
      </w:r>
      <w:r w:rsidRPr="000A4A98">
        <w:rPr>
          <w:rFonts w:ascii="Cambria" w:hAnsi="Cambria"/>
        </w:rPr>
        <w:t>.</w:t>
      </w:r>
      <w:r w:rsidR="00261B10" w:rsidRPr="000A4A98">
        <w:rPr>
          <w:rFonts w:ascii="Cambria" w:hAnsi="Cambria"/>
        </w:rPr>
        <w:t xml:space="preserve"> Therefore,</w:t>
      </w:r>
      <w:r w:rsidR="00686A85">
        <w:rPr>
          <w:rFonts w:ascii="Cambria" w:hAnsi="Cambria"/>
        </w:rPr>
        <w:t xml:space="preserve"> when graphing or describing the </w:t>
      </w:r>
      <w:proofErr w:type="spellStart"/>
      <w:r w:rsidR="00686A85">
        <w:rPr>
          <w:rFonts w:ascii="Cambria" w:hAnsi="Cambria"/>
        </w:rPr>
        <w:t>ToT</w:t>
      </w:r>
      <w:proofErr w:type="spellEnd"/>
      <w:r w:rsidR="00686A85">
        <w:rPr>
          <w:rFonts w:ascii="Cambria" w:hAnsi="Cambria"/>
        </w:rPr>
        <w:t>, also include the</w:t>
      </w:r>
      <w:r w:rsidR="00261B10" w:rsidRPr="000A4A98">
        <w:rPr>
          <w:rFonts w:ascii="Cambria" w:hAnsi="Cambria"/>
        </w:rPr>
        <w:t xml:space="preserve"> underlying prices series</w:t>
      </w:r>
      <w:r w:rsidR="00E6468B">
        <w:rPr>
          <w:rFonts w:ascii="Cambria" w:hAnsi="Cambria"/>
        </w:rPr>
        <w:t>.</w:t>
      </w:r>
      <w:r w:rsidR="00261B10" w:rsidRPr="000A4A98">
        <w:rPr>
          <w:rFonts w:ascii="Cambria" w:hAnsi="Cambria"/>
        </w:rPr>
        <w:t xml:space="preserve"> </w:t>
      </w:r>
    </w:p>
    <w:p w14:paraId="6DDCE43F" w14:textId="77777777" w:rsidR="00EF3D53" w:rsidRPr="000A4A98" w:rsidRDefault="00EF3D53" w:rsidP="00EF3D53">
      <w:pPr>
        <w:rPr>
          <w:rFonts w:ascii="Cambria" w:hAnsi="Cambria"/>
        </w:rPr>
      </w:pPr>
    </w:p>
    <w:p w14:paraId="4E2D37E7" w14:textId="2D25FEF1" w:rsidR="00EF3D53" w:rsidRPr="008B5E87" w:rsidRDefault="00EF3D53" w:rsidP="00EF3D53">
      <w:pPr>
        <w:rPr>
          <w:rFonts w:ascii="Cambria" w:hAnsi="Cambria"/>
          <w:i/>
        </w:rPr>
      </w:pPr>
      <w:r w:rsidRPr="008B5E87">
        <w:rPr>
          <w:rFonts w:ascii="Cambria" w:hAnsi="Cambria"/>
          <w:i/>
        </w:rPr>
        <w:t>Example</w:t>
      </w:r>
      <w:r w:rsidR="006C1FE0" w:rsidRPr="008B5E87">
        <w:rPr>
          <w:rFonts w:ascii="Cambria" w:hAnsi="Cambria"/>
          <w:i/>
        </w:rPr>
        <w:t xml:space="preserve"> of cashew</w:t>
      </w:r>
      <w:r w:rsidR="00BF62E7" w:rsidRPr="008B5E87">
        <w:rPr>
          <w:rFonts w:ascii="Cambria" w:hAnsi="Cambria"/>
          <w:i/>
        </w:rPr>
        <w:t>-to</w:t>
      </w:r>
      <w:r w:rsidR="006C1FE0" w:rsidRPr="008B5E87">
        <w:rPr>
          <w:rFonts w:ascii="Cambria" w:hAnsi="Cambria"/>
          <w:i/>
        </w:rPr>
        <w:t xml:space="preserve">-rice </w:t>
      </w:r>
      <w:proofErr w:type="spellStart"/>
      <w:r w:rsidR="006C1FE0" w:rsidRPr="008B5E87">
        <w:rPr>
          <w:rFonts w:ascii="Cambria" w:hAnsi="Cambria"/>
          <w:i/>
        </w:rPr>
        <w:t>ToT</w:t>
      </w:r>
      <w:proofErr w:type="spellEnd"/>
      <w:r w:rsidR="006C1FE0" w:rsidRPr="008B5E87">
        <w:rPr>
          <w:rFonts w:ascii="Cambria" w:hAnsi="Cambria"/>
          <w:i/>
        </w:rPr>
        <w:t xml:space="preserve"> in Guinea Bissau</w:t>
      </w:r>
      <w:r w:rsidRPr="008B5E87">
        <w:rPr>
          <w:rFonts w:ascii="Cambria" w:hAnsi="Cambria"/>
          <w:i/>
        </w:rPr>
        <w:t xml:space="preserve"> </w:t>
      </w:r>
    </w:p>
    <w:p w14:paraId="37C66BDD" w14:textId="10007AF5" w:rsidR="00EF3D53" w:rsidRPr="000A4A98" w:rsidRDefault="00EF3D53" w:rsidP="00EF3D53">
      <w:pPr>
        <w:rPr>
          <w:rFonts w:ascii="Cambria" w:hAnsi="Cambria"/>
        </w:rPr>
      </w:pPr>
      <w:r w:rsidRPr="000A4A98">
        <w:rPr>
          <w:rFonts w:ascii="Cambria" w:hAnsi="Cambria"/>
        </w:rPr>
        <w:t>WFP’s cashew</w:t>
      </w:r>
      <w:r w:rsidR="00384BC6">
        <w:rPr>
          <w:rFonts w:ascii="Cambria" w:hAnsi="Cambria"/>
        </w:rPr>
        <w:t>-to</w:t>
      </w:r>
      <w:r w:rsidRPr="000A4A98">
        <w:rPr>
          <w:rFonts w:ascii="Cambria" w:hAnsi="Cambria"/>
        </w:rPr>
        <w:t>-rice</w:t>
      </w:r>
      <w:r w:rsidR="004428B0">
        <w:rPr>
          <w:rFonts w:ascii="Cambria" w:hAnsi="Cambria"/>
        </w:rPr>
        <w:t xml:space="preserve"> terms of trade</w:t>
      </w:r>
      <w:r w:rsidRPr="000A4A98">
        <w:rPr>
          <w:rFonts w:ascii="Cambria" w:hAnsi="Cambria"/>
        </w:rPr>
        <w:t xml:space="preserve"> example from Guinea Bissau shows how decreases in the price of cashews, a main cash crop, compared to both domestic and international rice prices and indicated worsening food security for cashew growers.</w:t>
      </w:r>
    </w:p>
    <w:p w14:paraId="5224DA0C" w14:textId="77777777" w:rsidR="00EF3D53" w:rsidRPr="000A4A98" w:rsidRDefault="00EF3D53" w:rsidP="00EF3D53">
      <w:pPr>
        <w:rPr>
          <w:rFonts w:ascii="Cambria" w:hAnsi="Cambria"/>
        </w:rPr>
      </w:pPr>
    </w:p>
    <w:p w14:paraId="6ACDD340" w14:textId="77777777" w:rsidR="00EF3D53" w:rsidRPr="000A4A98" w:rsidRDefault="00EF3D53" w:rsidP="00EF3D53">
      <w:pPr>
        <w:rPr>
          <w:rFonts w:ascii="Cambria" w:hAnsi="Cambria"/>
        </w:rPr>
      </w:pPr>
      <w:r w:rsidRPr="000A4A98">
        <w:rPr>
          <w:rFonts w:ascii="Cambria" w:hAnsi="Cambria"/>
          <w:noProof/>
        </w:rPr>
        <w:lastRenderedPageBreak/>
        <w:drawing>
          <wp:inline distT="0" distB="0" distL="0" distR="0" wp14:anchorId="2330A116" wp14:editId="1BA09AE4">
            <wp:extent cx="5486400" cy="3505200"/>
            <wp:effectExtent l="25400" t="0" r="0" b="0"/>
            <wp:docPr id="23" name="P 15" descr="WFP ToT.jpg"/>
            <wp:cNvGraphicFramePr/>
            <a:graphic xmlns:a="http://schemas.openxmlformats.org/drawingml/2006/main">
              <a:graphicData uri="http://schemas.openxmlformats.org/drawingml/2006/picture">
                <pic:pic xmlns:pic="http://schemas.openxmlformats.org/drawingml/2006/picture">
                  <pic:nvPicPr>
                    <pic:cNvPr id="0" name="Content Placeholder 5" descr="WFP ToT.jpg"/>
                    <pic:cNvPicPr>
                      <a:picLocks noGrp="1" noChangeAspect="1"/>
                    </pic:cNvPicPr>
                  </pic:nvPicPr>
                  <pic:blipFill>
                    <a:blip r:embed="rId25" cstate="print"/>
                    <a:srcRect t="-2261" b="-2261"/>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752E36BB" w14:textId="77777777" w:rsidR="00EF3D53" w:rsidRPr="000A4A98" w:rsidRDefault="00EF3D53" w:rsidP="00EF3D53">
      <w:pPr>
        <w:rPr>
          <w:rFonts w:ascii="Cambria" w:hAnsi="Cambria"/>
          <w:b/>
        </w:rPr>
      </w:pPr>
      <w:r w:rsidRPr="000A4A98">
        <w:rPr>
          <w:rFonts w:ascii="Cambria" w:hAnsi="Cambria"/>
        </w:rPr>
        <w:t>Source:</w:t>
      </w:r>
      <w:r w:rsidRPr="000A4A98">
        <w:rPr>
          <w:rFonts w:ascii="Cambria" w:hAnsi="Cambria"/>
          <w:b/>
        </w:rPr>
        <w:t xml:space="preserve"> </w:t>
      </w:r>
      <w:r w:rsidRPr="000A4A98">
        <w:rPr>
          <w:rFonts w:ascii="Cambria" w:hAnsi="Cambria"/>
        </w:rPr>
        <w:t>WFP 2008.  “PDPE Market Analysis Tool: Terms of Trade” p. 6</w:t>
      </w:r>
    </w:p>
    <w:p w14:paraId="686F955B" w14:textId="77777777" w:rsidR="00EF3D53" w:rsidRPr="000A4A98" w:rsidRDefault="00EF3D53" w:rsidP="006D474E">
      <w:pPr>
        <w:rPr>
          <w:rFonts w:ascii="Cambria" w:hAnsi="Cambria"/>
          <w:b/>
        </w:rPr>
      </w:pPr>
    </w:p>
    <w:p w14:paraId="35ED936C" w14:textId="75FA0806" w:rsidR="006D474E" w:rsidRPr="000A4A98" w:rsidRDefault="0022255F" w:rsidP="006D474E">
      <w:pPr>
        <w:rPr>
          <w:rFonts w:ascii="Cambria" w:hAnsi="Cambria"/>
          <w:b/>
        </w:rPr>
      </w:pPr>
      <w:r>
        <w:rPr>
          <w:rFonts w:ascii="Cambria" w:hAnsi="Cambria"/>
          <w:b/>
        </w:rPr>
        <w:t>Commodities to examine</w:t>
      </w:r>
    </w:p>
    <w:p w14:paraId="763D5C70" w14:textId="5A18D052" w:rsidR="006D474E" w:rsidRPr="000A4A98" w:rsidRDefault="006D474E" w:rsidP="006D474E">
      <w:pPr>
        <w:rPr>
          <w:rFonts w:ascii="Cambria" w:hAnsi="Cambria"/>
        </w:rPr>
      </w:pPr>
      <w:r w:rsidRPr="000A4A98">
        <w:rPr>
          <w:rFonts w:ascii="Cambria" w:hAnsi="Cambria"/>
        </w:rPr>
        <w:t>Needs assessment and key informant discussions should provide information on key commodities consumed by food insecure or at-risk households. Nutritional assessment</w:t>
      </w:r>
      <w:r w:rsidR="006647A2">
        <w:rPr>
          <w:rFonts w:ascii="Cambria" w:hAnsi="Cambria"/>
        </w:rPr>
        <w:t>s</w:t>
      </w:r>
      <w:r w:rsidRPr="000A4A98">
        <w:rPr>
          <w:rFonts w:ascii="Cambria" w:hAnsi="Cambria"/>
        </w:rPr>
        <w:t xml:space="preserve"> may identify other needs, for example for foods rich in iron to fight anemia. After examining basic consumption patterns, the analyst should be able to identify which commodities to focus on for further price information. These commodities should be the ones that households purchase for consumption during hungry periods. </w:t>
      </w:r>
    </w:p>
    <w:p w14:paraId="2B103C76" w14:textId="77777777" w:rsidR="006D474E" w:rsidRPr="000A4A98" w:rsidRDefault="006D474E" w:rsidP="006D474E">
      <w:pPr>
        <w:rPr>
          <w:rFonts w:ascii="Cambria" w:hAnsi="Cambria"/>
          <w:b/>
        </w:rPr>
      </w:pPr>
    </w:p>
    <w:p w14:paraId="28EC3371" w14:textId="77777777" w:rsidR="006D474E" w:rsidRDefault="006D474E" w:rsidP="006D474E">
      <w:pPr>
        <w:rPr>
          <w:rFonts w:ascii="Cambria" w:hAnsi="Cambria"/>
          <w:i/>
        </w:rPr>
      </w:pPr>
      <w:r w:rsidRPr="00ED611D">
        <w:rPr>
          <w:rFonts w:ascii="Cambria" w:hAnsi="Cambria"/>
          <w:i/>
        </w:rPr>
        <w:t>An initial list of commodities should include foods that meet the following criteria:</w:t>
      </w:r>
    </w:p>
    <w:p w14:paraId="5D5DF4A6" w14:textId="77777777" w:rsidR="006232AE" w:rsidRPr="00ED611D" w:rsidRDefault="006232AE" w:rsidP="006D474E">
      <w:pPr>
        <w:rPr>
          <w:rFonts w:ascii="Cambria" w:hAnsi="Cambria"/>
          <w:i/>
        </w:rPr>
      </w:pPr>
    </w:p>
    <w:p w14:paraId="6F9B0979" w14:textId="770F59D8" w:rsidR="006232AE" w:rsidRDefault="00ED611D" w:rsidP="00ED611D">
      <w:pPr>
        <w:rPr>
          <w:rFonts w:ascii="Cambria" w:hAnsi="Cambria"/>
        </w:rPr>
      </w:pPr>
      <w:r>
        <w:rPr>
          <w:rFonts w:ascii="Cambria" w:hAnsi="Cambria"/>
        </w:rPr>
        <w:t>Choose commodities that are c</w:t>
      </w:r>
      <w:r w:rsidR="006D474E" w:rsidRPr="00ED611D">
        <w:rPr>
          <w:rFonts w:ascii="Cambria" w:hAnsi="Cambria"/>
        </w:rPr>
        <w:t>rucial for food security</w:t>
      </w:r>
      <w:r w:rsidRPr="00ED611D">
        <w:rPr>
          <w:rFonts w:ascii="Cambria" w:hAnsi="Cambria"/>
        </w:rPr>
        <w:t xml:space="preserve">, such as </w:t>
      </w:r>
      <w:r w:rsidR="006D474E" w:rsidRPr="00ED611D">
        <w:rPr>
          <w:rFonts w:ascii="Cambria" w:hAnsi="Cambria"/>
        </w:rPr>
        <w:t>staples</w:t>
      </w:r>
      <w:r w:rsidRPr="00ED611D">
        <w:rPr>
          <w:rFonts w:ascii="Cambria" w:hAnsi="Cambria"/>
        </w:rPr>
        <w:t xml:space="preserve">. Also consider </w:t>
      </w:r>
      <w:r>
        <w:rPr>
          <w:rFonts w:ascii="Cambria" w:hAnsi="Cambria"/>
        </w:rPr>
        <w:t xml:space="preserve">including </w:t>
      </w:r>
      <w:r w:rsidR="003E5781">
        <w:rPr>
          <w:rFonts w:ascii="Cambria" w:hAnsi="Cambria"/>
        </w:rPr>
        <w:t>major sources of fat and protein, especially if large portions of food budgets are spent on these items. Consider including</w:t>
      </w:r>
      <w:r w:rsidRPr="00ED611D">
        <w:rPr>
          <w:rFonts w:ascii="Cambria" w:hAnsi="Cambria"/>
        </w:rPr>
        <w:t xml:space="preserve"> </w:t>
      </w:r>
      <w:r w:rsidR="006D474E" w:rsidRPr="00ED611D">
        <w:rPr>
          <w:rFonts w:ascii="Cambria" w:hAnsi="Cambria"/>
        </w:rPr>
        <w:t>other foods containing key micronutrients (e.g., iron)</w:t>
      </w:r>
      <w:r>
        <w:rPr>
          <w:rFonts w:ascii="Cambria" w:hAnsi="Cambria"/>
        </w:rPr>
        <w:t>, especially if these micronutrients are missing</w:t>
      </w:r>
      <w:r w:rsidR="00770C1D">
        <w:rPr>
          <w:rFonts w:ascii="Cambria" w:hAnsi="Cambria"/>
        </w:rPr>
        <w:t xml:space="preserve"> or under</w:t>
      </w:r>
      <w:r w:rsidR="00B0098F">
        <w:rPr>
          <w:rFonts w:ascii="Cambria" w:hAnsi="Cambria"/>
        </w:rPr>
        <w:t>-</w:t>
      </w:r>
      <w:r w:rsidR="00770C1D">
        <w:rPr>
          <w:rFonts w:ascii="Cambria" w:hAnsi="Cambria"/>
        </w:rPr>
        <w:t>consumed</w:t>
      </w:r>
      <w:r>
        <w:rPr>
          <w:rFonts w:ascii="Cambria" w:hAnsi="Cambria"/>
        </w:rPr>
        <w:t xml:space="preserve"> in diets.</w:t>
      </w:r>
      <w:r w:rsidR="006232AE">
        <w:rPr>
          <w:rFonts w:ascii="Cambria" w:hAnsi="Cambria"/>
        </w:rPr>
        <w:t xml:space="preserve"> A n</w:t>
      </w:r>
      <w:r w:rsidR="00185F3D">
        <w:rPr>
          <w:rFonts w:ascii="Cambria" w:hAnsi="Cambria"/>
        </w:rPr>
        <w:t>utritional assessment may find</w:t>
      </w:r>
      <w:r w:rsidR="006232AE">
        <w:rPr>
          <w:rFonts w:ascii="Cambria" w:hAnsi="Cambria"/>
        </w:rPr>
        <w:t xml:space="preserve"> that particular products are highly important for diets, such as fresh fruit and vegetables in refugee</w:t>
      </w:r>
      <w:r w:rsidR="00EC1825">
        <w:rPr>
          <w:rFonts w:ascii="Cambria" w:hAnsi="Cambria"/>
        </w:rPr>
        <w:t xml:space="preserve"> and IDP</w:t>
      </w:r>
      <w:r w:rsidR="006232AE">
        <w:rPr>
          <w:rFonts w:ascii="Cambria" w:hAnsi="Cambria"/>
        </w:rPr>
        <w:t xml:space="preserve"> camps.</w:t>
      </w:r>
    </w:p>
    <w:p w14:paraId="6F9C561D" w14:textId="77777777" w:rsidR="00B0098F" w:rsidRPr="00ED611D" w:rsidRDefault="00B0098F" w:rsidP="00ED611D">
      <w:pPr>
        <w:rPr>
          <w:rFonts w:ascii="Cambria" w:hAnsi="Cambria"/>
        </w:rPr>
      </w:pPr>
    </w:p>
    <w:p w14:paraId="2B637959" w14:textId="75F9F458" w:rsidR="006D474E" w:rsidRPr="004F682C" w:rsidRDefault="006D474E" w:rsidP="004F682C">
      <w:pPr>
        <w:rPr>
          <w:rFonts w:ascii="Cambria" w:hAnsi="Cambria"/>
        </w:rPr>
      </w:pPr>
      <w:r w:rsidRPr="00ED611D">
        <w:rPr>
          <w:rFonts w:ascii="Cambria" w:hAnsi="Cambria"/>
        </w:rPr>
        <w:t>C</w:t>
      </w:r>
      <w:r w:rsidR="00ED611D" w:rsidRPr="00ED611D">
        <w:rPr>
          <w:rFonts w:ascii="Cambria" w:hAnsi="Cambria"/>
        </w:rPr>
        <w:t>hoose commodities c</w:t>
      </w:r>
      <w:r w:rsidRPr="00ED611D">
        <w:rPr>
          <w:rFonts w:ascii="Cambria" w:hAnsi="Cambria"/>
        </w:rPr>
        <w:t>onsumed by the target population</w:t>
      </w:r>
      <w:r w:rsidR="004F682C">
        <w:rPr>
          <w:rFonts w:ascii="Cambria" w:hAnsi="Cambria"/>
        </w:rPr>
        <w:t xml:space="preserve">, and </w:t>
      </w:r>
      <w:r w:rsidR="00770C1D">
        <w:rPr>
          <w:rFonts w:ascii="Cambria" w:hAnsi="Cambria"/>
        </w:rPr>
        <w:t>a</w:t>
      </w:r>
      <w:r w:rsidRPr="004F682C">
        <w:rPr>
          <w:rFonts w:ascii="Cambria" w:hAnsi="Cambria"/>
        </w:rPr>
        <w:t>ssess whether seasonal consumption patterns differ and include products relevant for hungry-season consumption</w:t>
      </w:r>
      <w:r w:rsidR="004F682C">
        <w:rPr>
          <w:rFonts w:ascii="Cambria" w:hAnsi="Cambria"/>
        </w:rPr>
        <w:t>. Choose commodities that are g</w:t>
      </w:r>
      <w:r w:rsidRPr="004F682C">
        <w:rPr>
          <w:rFonts w:ascii="Cambria" w:hAnsi="Cambria"/>
        </w:rPr>
        <w:t>enerally available on the market</w:t>
      </w:r>
      <w:r w:rsidR="004F682C">
        <w:rPr>
          <w:rFonts w:ascii="Cambria" w:hAnsi="Cambria"/>
        </w:rPr>
        <w:t xml:space="preserve">. </w:t>
      </w:r>
      <w:r w:rsidRPr="004F682C">
        <w:rPr>
          <w:rFonts w:ascii="Cambria" w:hAnsi="Cambria"/>
        </w:rPr>
        <w:t>For example, corn-soy blend (CSB) is rarely available in large quantity on local markets</w:t>
      </w:r>
      <w:r w:rsidR="004F682C">
        <w:rPr>
          <w:rFonts w:ascii="Cambria" w:hAnsi="Cambria"/>
        </w:rPr>
        <w:t xml:space="preserve"> and therefore would not be a good candidate.</w:t>
      </w:r>
    </w:p>
    <w:p w14:paraId="223327A5" w14:textId="77777777" w:rsidR="006D474E" w:rsidRPr="000A4A98" w:rsidRDefault="006D474E" w:rsidP="006D474E">
      <w:pPr>
        <w:rPr>
          <w:rFonts w:ascii="Cambria" w:hAnsi="Cambria"/>
          <w:b/>
        </w:rPr>
      </w:pPr>
    </w:p>
    <w:p w14:paraId="0C464DFB" w14:textId="0C53C893" w:rsidR="006232AE" w:rsidRDefault="004E704D" w:rsidP="006232AE">
      <w:pPr>
        <w:rPr>
          <w:rFonts w:ascii="Cambria" w:hAnsi="Cambria"/>
          <w:i/>
        </w:rPr>
      </w:pPr>
      <w:r>
        <w:rPr>
          <w:rFonts w:ascii="Cambria" w:hAnsi="Cambria"/>
          <w:i/>
        </w:rPr>
        <w:t>N</w:t>
      </w:r>
      <w:r w:rsidR="006D474E" w:rsidRPr="006232AE">
        <w:rPr>
          <w:rFonts w:ascii="Cambria" w:hAnsi="Cambria"/>
          <w:i/>
        </w:rPr>
        <w:t>arrow the list of candidate com</w:t>
      </w:r>
      <w:r w:rsidR="006232AE">
        <w:rPr>
          <w:rFonts w:ascii="Cambria" w:hAnsi="Cambria"/>
          <w:i/>
        </w:rPr>
        <w:t xml:space="preserve">modities </w:t>
      </w:r>
    </w:p>
    <w:p w14:paraId="3405BA50" w14:textId="24D8C240" w:rsidR="00113B8B" w:rsidRPr="00113B8B" w:rsidRDefault="00040A5F" w:rsidP="00113B8B">
      <w:pPr>
        <w:rPr>
          <w:rFonts w:ascii="Cambria" w:hAnsi="Cambria"/>
        </w:rPr>
      </w:pPr>
      <w:r w:rsidRPr="000A4A98">
        <w:rPr>
          <w:rFonts w:ascii="Cambria" w:hAnsi="Cambria"/>
        </w:rPr>
        <w:t xml:space="preserve">Winnow down the number of commodities to the smallest number possible. </w:t>
      </w:r>
      <w:r w:rsidR="001D28B8" w:rsidRPr="00113B8B">
        <w:rPr>
          <w:rFonts w:ascii="Cambria" w:hAnsi="Cambria"/>
        </w:rPr>
        <w:t>We are most concerned about commodities whose price changes are most likely to most impact the poor.</w:t>
      </w:r>
      <w:r w:rsidR="00113B8B" w:rsidRPr="00113B8B">
        <w:rPr>
          <w:rFonts w:ascii="Cambria" w:hAnsi="Cambria"/>
        </w:rPr>
        <w:t xml:space="preserve"> Therefore, focus particularly on staples and substitutes, but also key complementary goods and services, such as water, medicine, fuel, or shelter. </w:t>
      </w:r>
    </w:p>
    <w:p w14:paraId="319535E4" w14:textId="0BA42AAC" w:rsidR="001D28B8" w:rsidRPr="00113B8B" w:rsidRDefault="001D28B8" w:rsidP="001D28B8">
      <w:pPr>
        <w:rPr>
          <w:rFonts w:ascii="Cambria" w:hAnsi="Cambria"/>
          <w:b/>
        </w:rPr>
      </w:pPr>
    </w:p>
    <w:p w14:paraId="1651AC27" w14:textId="48B9FFE5" w:rsidR="006D474E" w:rsidRPr="000A4A98" w:rsidRDefault="00E30062" w:rsidP="00EA1E4A">
      <w:pPr>
        <w:rPr>
          <w:rFonts w:ascii="Cambria" w:hAnsi="Cambria"/>
        </w:rPr>
      </w:pPr>
      <w:r w:rsidRPr="00113B8B">
        <w:rPr>
          <w:rFonts w:ascii="Cambria" w:hAnsi="Cambria"/>
        </w:rPr>
        <w:t xml:space="preserve">To narrow the list of commodities, compute budget shares. </w:t>
      </w:r>
      <w:r w:rsidR="004E704D" w:rsidRPr="004E704D">
        <w:rPr>
          <w:rFonts w:ascii="Cambria" w:hAnsi="Cambria"/>
        </w:rPr>
        <w:t xml:space="preserve">A budget share is the ratio of the amount spent on one commodity for a given time-period divided by the amount of (cash and non-cash) budget earned for the same time period. Compute budget shares for the same 2-4 commodities most heavily purchased for several different socio-economic groups. </w:t>
      </w:r>
      <w:r w:rsidR="009343DB">
        <w:rPr>
          <w:rFonts w:ascii="Cambria" w:hAnsi="Cambria"/>
        </w:rPr>
        <w:t>Select those</w:t>
      </w:r>
      <w:r w:rsidR="004E704D" w:rsidRPr="004E704D">
        <w:rPr>
          <w:rFonts w:ascii="Cambria" w:hAnsi="Cambria"/>
        </w:rPr>
        <w:t xml:space="preserve"> commodities’ </w:t>
      </w:r>
      <w:r w:rsidR="009343DB">
        <w:rPr>
          <w:rFonts w:ascii="Cambria" w:hAnsi="Cambria"/>
        </w:rPr>
        <w:t xml:space="preserve">whose </w:t>
      </w:r>
      <w:r w:rsidR="004E704D" w:rsidRPr="004E704D">
        <w:rPr>
          <w:rFonts w:ascii="Cambria" w:hAnsi="Cambria"/>
        </w:rPr>
        <w:t xml:space="preserve">price changes </w:t>
      </w:r>
      <w:r w:rsidR="003D0704">
        <w:rPr>
          <w:rFonts w:ascii="Cambria" w:hAnsi="Cambria"/>
        </w:rPr>
        <w:t xml:space="preserve">(i.e., those commodities with a large budget share) </w:t>
      </w:r>
      <w:r w:rsidR="004E704D" w:rsidRPr="004E704D">
        <w:rPr>
          <w:rFonts w:ascii="Cambria" w:hAnsi="Cambria"/>
        </w:rPr>
        <w:t xml:space="preserve">most hurt </w:t>
      </w:r>
      <w:r w:rsidR="009343DB">
        <w:rPr>
          <w:rFonts w:ascii="Cambria" w:hAnsi="Cambria"/>
        </w:rPr>
        <w:t>the</w:t>
      </w:r>
      <w:r w:rsidR="00647619">
        <w:rPr>
          <w:rFonts w:ascii="Cambria" w:hAnsi="Cambria"/>
        </w:rPr>
        <w:t xml:space="preserve"> intended</w:t>
      </w:r>
      <w:r w:rsidR="009343DB">
        <w:rPr>
          <w:rFonts w:ascii="Cambria" w:hAnsi="Cambria"/>
        </w:rPr>
        <w:t xml:space="preserve"> targeted recipients</w:t>
      </w:r>
      <w:r w:rsidR="003D0704">
        <w:rPr>
          <w:rFonts w:ascii="Cambria" w:hAnsi="Cambria"/>
        </w:rPr>
        <w:t>.</w:t>
      </w:r>
      <w:r w:rsidR="00EA1E4A">
        <w:rPr>
          <w:rFonts w:ascii="Cambria" w:hAnsi="Cambria"/>
        </w:rPr>
        <w:t xml:space="preserve"> Identify the substitutes for the prospective commodity candidates and whether they are inferior or normal goods.  When commodities have many substitutes, consider examining some of those substitutes. If the price of a commodity rises, and households can substitute away from it, they will be less harmed by the price increase. Similarly, price increases for inferior goods will disproportionately harm </w:t>
      </w:r>
      <w:r w:rsidR="007F064D">
        <w:rPr>
          <w:rFonts w:ascii="Cambria" w:hAnsi="Cambria"/>
        </w:rPr>
        <w:t>poor</w:t>
      </w:r>
      <w:r w:rsidR="00EA1E4A">
        <w:rPr>
          <w:rFonts w:ascii="Cambria" w:hAnsi="Cambria"/>
        </w:rPr>
        <w:t xml:space="preserve"> households. </w:t>
      </w:r>
      <w:r w:rsidR="00B43F0C">
        <w:rPr>
          <w:rFonts w:ascii="Cambria" w:hAnsi="Cambria"/>
        </w:rPr>
        <w:t xml:space="preserve">Therefore, when inferior goods are consumed, tracking them can be more informative </w:t>
      </w:r>
      <w:r w:rsidR="009A4D50">
        <w:rPr>
          <w:rFonts w:ascii="Cambria" w:hAnsi="Cambria"/>
        </w:rPr>
        <w:t xml:space="preserve">about </w:t>
      </w:r>
      <w:r w:rsidR="00B43F0C">
        <w:rPr>
          <w:rFonts w:ascii="Cambria" w:hAnsi="Cambria"/>
        </w:rPr>
        <w:t>than tracking normal goods.</w:t>
      </w:r>
    </w:p>
    <w:p w14:paraId="3FA0187A" w14:textId="77777777" w:rsidR="006D474E" w:rsidRPr="000A4A98" w:rsidRDefault="006D474E" w:rsidP="006D474E">
      <w:pPr>
        <w:rPr>
          <w:rFonts w:ascii="Cambria" w:hAnsi="Cambria"/>
          <w:b/>
        </w:rPr>
      </w:pPr>
    </w:p>
    <w:p w14:paraId="32416831" w14:textId="77777777" w:rsidR="000F3459" w:rsidRPr="000F3459" w:rsidRDefault="00E30062" w:rsidP="000F3459">
      <w:pPr>
        <w:rPr>
          <w:rFonts w:ascii="Cambria" w:hAnsi="Cambria"/>
        </w:rPr>
      </w:pPr>
      <w:r>
        <w:rPr>
          <w:rFonts w:ascii="Cambria" w:hAnsi="Cambria"/>
        </w:rPr>
        <w:t>A final reason to limit the number of commodities examined is that t</w:t>
      </w:r>
      <w:r w:rsidRPr="000A4A98">
        <w:rPr>
          <w:rFonts w:ascii="Cambria" w:hAnsi="Cambria"/>
        </w:rPr>
        <w:t>raders are commonly extremely busy and rarely have time to spend multiple hours answering a survey. In order to avoid respondent fatigue, ask each trader about no more than two or three commodities and limit the survey to a maximum of one and a half hours</w:t>
      </w:r>
      <w:r>
        <w:rPr>
          <w:rFonts w:ascii="Cambria" w:hAnsi="Cambria"/>
        </w:rPr>
        <w:t xml:space="preserve"> (C</w:t>
      </w:r>
      <w:r w:rsidRPr="000A4A98">
        <w:rPr>
          <w:rFonts w:ascii="Cambria" w:hAnsi="Cambria"/>
        </w:rPr>
        <w:t>ertain commodities may have more complex supply and marketing chains (e.g., those imported through long channels versus those produced and sold locally) than others and therefore responses about some commodities may require more time than others.</w:t>
      </w:r>
      <w:r>
        <w:rPr>
          <w:rFonts w:ascii="Cambria" w:hAnsi="Cambria"/>
        </w:rPr>
        <w:t>).</w:t>
      </w:r>
      <w:r w:rsidR="000F3459">
        <w:rPr>
          <w:rFonts w:ascii="Cambria" w:hAnsi="Cambria"/>
        </w:rPr>
        <w:t xml:space="preserve"> I</w:t>
      </w:r>
      <w:r w:rsidR="000F3459" w:rsidRPr="000F3459">
        <w:rPr>
          <w:rFonts w:ascii="Cambria" w:hAnsi="Cambria"/>
        </w:rPr>
        <w:t>f supply chains are the same for several prod</w:t>
      </w:r>
      <w:r w:rsidR="000F3459">
        <w:rPr>
          <w:rFonts w:ascii="Cambria" w:hAnsi="Cambria"/>
        </w:rPr>
        <w:t>ucts (e.g., millet and sorghum)</w:t>
      </w:r>
      <w:r w:rsidR="000F3459" w:rsidRPr="000F3459">
        <w:rPr>
          <w:rFonts w:ascii="Cambria" w:hAnsi="Cambria"/>
        </w:rPr>
        <w:t>, when analyzing certain market aspects (e.g., competition), rely on only one representative product from those chains</w:t>
      </w:r>
      <w:r w:rsidR="000F3459">
        <w:rPr>
          <w:rFonts w:ascii="Cambria" w:hAnsi="Cambria"/>
        </w:rPr>
        <w:t>.</w:t>
      </w:r>
    </w:p>
    <w:p w14:paraId="651EC792" w14:textId="77777777" w:rsidR="007A1B71" w:rsidRPr="000A4A98" w:rsidRDefault="007A1B71" w:rsidP="006D474E">
      <w:pPr>
        <w:rPr>
          <w:rFonts w:ascii="Cambria" w:hAnsi="Cambria"/>
        </w:rPr>
      </w:pPr>
    </w:p>
    <w:p w14:paraId="355719D8" w14:textId="1DB6C62D" w:rsidR="00817603" w:rsidRPr="004071A0" w:rsidRDefault="00817603" w:rsidP="004071A0">
      <w:pPr>
        <w:rPr>
          <w:rFonts w:ascii="Cambria" w:hAnsi="Cambria"/>
        </w:rPr>
      </w:pPr>
      <w:r w:rsidRPr="004071A0">
        <w:rPr>
          <w:rFonts w:ascii="Cambria" w:hAnsi="Cambria"/>
        </w:rPr>
        <w:t>T</w:t>
      </w:r>
      <w:r w:rsidR="006D474E" w:rsidRPr="004071A0">
        <w:rPr>
          <w:rFonts w:ascii="Cambria" w:hAnsi="Cambria"/>
        </w:rPr>
        <w:t>he number of commodities to consider will depend on:</w:t>
      </w:r>
      <w:r w:rsidR="004071A0">
        <w:rPr>
          <w:rFonts w:ascii="Cambria" w:hAnsi="Cambria"/>
        </w:rPr>
        <w:t xml:space="preserve"> l</w:t>
      </w:r>
      <w:r w:rsidR="006D474E" w:rsidRPr="004071A0">
        <w:rPr>
          <w:rFonts w:ascii="Cambria" w:hAnsi="Cambria"/>
        </w:rPr>
        <w:t>ocal consumption patterns</w:t>
      </w:r>
      <w:r w:rsidR="004071A0">
        <w:rPr>
          <w:rFonts w:ascii="Cambria" w:hAnsi="Cambria"/>
        </w:rPr>
        <w:t>, n</w:t>
      </w:r>
      <w:r w:rsidR="006D474E" w:rsidRPr="004071A0">
        <w:rPr>
          <w:rFonts w:ascii="Cambria" w:hAnsi="Cambria"/>
        </w:rPr>
        <w:t>utritional concerns</w:t>
      </w:r>
      <w:r w:rsidR="004071A0" w:rsidRPr="004071A0">
        <w:rPr>
          <w:rFonts w:ascii="Cambria" w:hAnsi="Cambria"/>
        </w:rPr>
        <w:t>, c</w:t>
      </w:r>
      <w:r w:rsidR="006D474E" w:rsidRPr="004071A0">
        <w:rPr>
          <w:rFonts w:ascii="Cambria" w:hAnsi="Cambria"/>
        </w:rPr>
        <w:t>ommodity characteristics (e.g., substitutability, dominance in diet)</w:t>
      </w:r>
      <w:r w:rsidR="004071A0">
        <w:rPr>
          <w:rFonts w:ascii="Cambria" w:hAnsi="Cambria"/>
        </w:rPr>
        <w:t>, t</w:t>
      </w:r>
      <w:r w:rsidR="006D474E" w:rsidRPr="004071A0">
        <w:rPr>
          <w:rFonts w:ascii="Cambria" w:hAnsi="Cambria"/>
        </w:rPr>
        <w:t>imeliness</w:t>
      </w:r>
      <w:r w:rsidR="004071A0">
        <w:rPr>
          <w:rFonts w:ascii="Cambria" w:hAnsi="Cambria"/>
        </w:rPr>
        <w:t>, and c</w:t>
      </w:r>
      <w:r w:rsidR="006D474E" w:rsidRPr="004071A0">
        <w:rPr>
          <w:rFonts w:ascii="Cambria" w:hAnsi="Cambria"/>
        </w:rPr>
        <w:t>ost</w:t>
      </w:r>
      <w:r w:rsidR="004071A0">
        <w:rPr>
          <w:rFonts w:ascii="Cambria" w:hAnsi="Cambria"/>
        </w:rPr>
        <w:t xml:space="preserve">. </w:t>
      </w:r>
      <w:r w:rsidRPr="004071A0">
        <w:rPr>
          <w:rFonts w:ascii="Cambria" w:hAnsi="Cambria"/>
        </w:rPr>
        <w:t>Each additional commodity increases the time per survey and the number of traders to interview.</w:t>
      </w:r>
    </w:p>
    <w:p w14:paraId="600B876C" w14:textId="77777777" w:rsidR="00817603" w:rsidRPr="000A4A98" w:rsidRDefault="00817603" w:rsidP="006D474E">
      <w:pPr>
        <w:rPr>
          <w:rFonts w:ascii="Cambria" w:hAnsi="Cambria"/>
          <w:b/>
        </w:rPr>
      </w:pPr>
    </w:p>
    <w:p w14:paraId="79BC887E" w14:textId="6C45AB3E" w:rsidR="006D474E" w:rsidRPr="00BA0F2A" w:rsidRDefault="00BA0F2A" w:rsidP="006D474E">
      <w:pPr>
        <w:rPr>
          <w:rFonts w:ascii="Cambria" w:hAnsi="Cambria"/>
          <w:i/>
        </w:rPr>
      </w:pPr>
      <w:r>
        <w:rPr>
          <w:rFonts w:ascii="Cambria" w:hAnsi="Cambria"/>
          <w:i/>
        </w:rPr>
        <w:t>Example of commodity choices</w:t>
      </w:r>
    </w:p>
    <w:p w14:paraId="6CE6E139" w14:textId="3AA8A2C6" w:rsidR="00CB6779" w:rsidRPr="00E661E4" w:rsidRDefault="006D474E">
      <w:pPr>
        <w:rPr>
          <w:rFonts w:ascii="Cambria" w:hAnsi="Cambria"/>
        </w:rPr>
      </w:pPr>
      <w:r w:rsidRPr="000A4A98">
        <w:rPr>
          <w:rFonts w:ascii="Cambria" w:hAnsi="Cambria"/>
        </w:rPr>
        <w:t xml:space="preserve">Initial findings indicate that cash and vouchers, relative to food aid baskets increase dietary diversity (Dunn, S. 2009. “External Evaluation: Fresh Food Voucher by Action Against Hunger in </w:t>
      </w:r>
      <w:proofErr w:type="spellStart"/>
      <w:r w:rsidRPr="000A4A98">
        <w:rPr>
          <w:rFonts w:ascii="Cambria" w:hAnsi="Cambria"/>
        </w:rPr>
        <w:t>Dadaab</w:t>
      </w:r>
      <w:proofErr w:type="spellEnd"/>
      <w:r w:rsidRPr="000A4A98">
        <w:rPr>
          <w:rFonts w:ascii="Cambria" w:hAnsi="Cambria"/>
        </w:rPr>
        <w:t xml:space="preserve"> Refugee Camps, Kenya”). Dietary diversity may be a programming objective and this may drive the types of commodities to examine. In </w:t>
      </w:r>
      <w:proofErr w:type="spellStart"/>
      <w:r w:rsidRPr="000A4A98">
        <w:rPr>
          <w:rFonts w:ascii="Cambria" w:hAnsi="Cambria"/>
        </w:rPr>
        <w:t>Dadaab</w:t>
      </w:r>
      <w:proofErr w:type="spellEnd"/>
      <w:r w:rsidRPr="000A4A98">
        <w:rPr>
          <w:rFonts w:ascii="Cambria" w:hAnsi="Cambria"/>
        </w:rPr>
        <w:t xml:space="preserve"> refugee camps, a small vouchers program allowed targeted households to supplement their food aid rations with fresh fruit and vegetables, milk and eggs. </w:t>
      </w:r>
      <w:r w:rsidRPr="000A4A98">
        <w:rPr>
          <w:rFonts w:ascii="Cambria" w:hAnsi="Cambria"/>
        </w:rPr>
        <w:lastRenderedPageBreak/>
        <w:t>These particular products were chosen for vouchers based on market availability, micronutrient composition and micronutrient requirements, and cost.</w:t>
      </w:r>
    </w:p>
    <w:p w14:paraId="1A9369A0" w14:textId="77777777" w:rsidR="00EF3D53" w:rsidRPr="000A4A98" w:rsidRDefault="00EF3D53">
      <w:pPr>
        <w:rPr>
          <w:rFonts w:ascii="Cambria" w:hAnsi="Cambria"/>
          <w:b/>
        </w:rPr>
      </w:pPr>
    </w:p>
    <w:p w14:paraId="71E2F590" w14:textId="77777777" w:rsidR="00EF3D53" w:rsidRPr="000A4A98" w:rsidRDefault="00EF3D53" w:rsidP="00EF3D53">
      <w:pPr>
        <w:rPr>
          <w:rFonts w:ascii="Cambria" w:hAnsi="Cambria"/>
          <w:b/>
        </w:rPr>
      </w:pPr>
      <w:r w:rsidRPr="000A4A98">
        <w:rPr>
          <w:rFonts w:ascii="Cambria" w:hAnsi="Cambria"/>
          <w:b/>
        </w:rPr>
        <w:t>Final Remarks</w:t>
      </w:r>
    </w:p>
    <w:p w14:paraId="2AF392D2" w14:textId="77777777" w:rsidR="00EF3D53" w:rsidRPr="000A4A98" w:rsidRDefault="00EF3D53" w:rsidP="00EF3D53">
      <w:pPr>
        <w:rPr>
          <w:rFonts w:ascii="Cambria" w:hAnsi="Cambria"/>
        </w:rPr>
      </w:pPr>
      <w:r w:rsidRPr="000A4A98">
        <w:rPr>
          <w:rFonts w:ascii="Cambria" w:hAnsi="Cambria"/>
        </w:rPr>
        <w:t>Data requirements and the representativeness of secondary sources will drive tradeoffs across these measures. If representative of the consumption patterns of the target population, income elasticities of demand are generally preferable to marginal propensities to consume.  However, if only broad elasticities are available, collecting MPC data and computing demand responses with both MPCs and elasticities can provide a range of increases in demand. Then, analysts can verify whether supply appears able to respond to the entire range of increased demand. Scenario building using elasticities and MPCs will be discussed further in  “Putting together the pieces.”</w:t>
      </w:r>
    </w:p>
    <w:p w14:paraId="040F6153" w14:textId="13E6C80F" w:rsidR="00EF3D53" w:rsidRPr="000A4A98" w:rsidRDefault="00E1118E" w:rsidP="00EF3D53">
      <w:pPr>
        <w:rPr>
          <w:rFonts w:ascii="Cambria" w:hAnsi="Cambria"/>
        </w:rPr>
      </w:pPr>
      <w:r>
        <w:rPr>
          <w:rFonts w:ascii="Cambria" w:hAnsi="Cambria"/>
        </w:rPr>
        <w:br/>
        <w:t>Computing t</w:t>
      </w:r>
      <w:r w:rsidR="00EF3D53" w:rsidRPr="000A4A98">
        <w:rPr>
          <w:rFonts w:ascii="Cambria" w:hAnsi="Cambria"/>
        </w:rPr>
        <w:t xml:space="preserve">erms of trade is most useful in communities with relatively low substitutability across commodities and livelihoods. Tracking </w:t>
      </w:r>
      <w:proofErr w:type="spellStart"/>
      <w:r w:rsidR="00EF3D53" w:rsidRPr="000A4A98">
        <w:rPr>
          <w:rFonts w:ascii="Cambria" w:hAnsi="Cambria"/>
        </w:rPr>
        <w:t>ToT</w:t>
      </w:r>
      <w:proofErr w:type="spellEnd"/>
      <w:r w:rsidR="00EF3D53" w:rsidRPr="000A4A98">
        <w:rPr>
          <w:rFonts w:ascii="Cambria" w:hAnsi="Cambria"/>
        </w:rPr>
        <w:t xml:space="preserve"> changes is a relatively simple monitoring and evaluation tool. Large decreases in </w:t>
      </w:r>
      <w:proofErr w:type="spellStart"/>
      <w:r w:rsidR="00EF3D53" w:rsidRPr="000A4A98">
        <w:rPr>
          <w:rFonts w:ascii="Cambria" w:hAnsi="Cambria"/>
        </w:rPr>
        <w:t>ToT</w:t>
      </w:r>
      <w:proofErr w:type="spellEnd"/>
      <w:r w:rsidR="00EF3D53" w:rsidRPr="000A4A98">
        <w:rPr>
          <w:rFonts w:ascii="Cambria" w:hAnsi="Cambria"/>
        </w:rPr>
        <w:t xml:space="preserve"> indicate that households may be facing worsening</w:t>
      </w:r>
      <w:r w:rsidR="0063222A" w:rsidRPr="000A4A98">
        <w:rPr>
          <w:rFonts w:ascii="Cambria" w:hAnsi="Cambria"/>
        </w:rPr>
        <w:t xml:space="preserve"> food insecurity.</w:t>
      </w:r>
    </w:p>
    <w:p w14:paraId="2447CF28" w14:textId="77777777" w:rsidR="00EF3D53" w:rsidRPr="000A4A98" w:rsidRDefault="00EF3D53">
      <w:pPr>
        <w:rPr>
          <w:rFonts w:ascii="Cambria" w:hAnsi="Cambria"/>
          <w:b/>
        </w:rPr>
      </w:pPr>
    </w:p>
    <w:sectPr w:rsidR="00EF3D53" w:rsidRPr="000A4A98" w:rsidSect="00CB6779">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4219" w14:textId="77777777" w:rsidR="000C1352" w:rsidRDefault="000C1352" w:rsidP="000074B5">
      <w:r>
        <w:separator/>
      </w:r>
    </w:p>
  </w:endnote>
  <w:endnote w:type="continuationSeparator" w:id="0">
    <w:p w14:paraId="08348960" w14:textId="77777777" w:rsidR="000C1352" w:rsidRDefault="000C1352"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ヒラギノ明朝 ProN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9DA9" w14:textId="77777777" w:rsidR="000C1352" w:rsidRDefault="000C1352" w:rsidP="00CB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51651" w14:textId="77777777" w:rsidR="000C1352" w:rsidRDefault="000C1352" w:rsidP="00E34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B0DD" w14:textId="77777777" w:rsidR="000C1352" w:rsidRDefault="000C1352" w:rsidP="00CB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C6">
      <w:rPr>
        <w:rStyle w:val="PageNumber"/>
        <w:noProof/>
      </w:rPr>
      <w:t>1</w:t>
    </w:r>
    <w:r>
      <w:rPr>
        <w:rStyle w:val="PageNumber"/>
      </w:rPr>
      <w:fldChar w:fldCharType="end"/>
    </w:r>
  </w:p>
  <w:p w14:paraId="437DB0FA" w14:textId="77777777" w:rsidR="000C1352" w:rsidRDefault="000C1352" w:rsidP="00E34D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88D9" w14:textId="77777777" w:rsidR="000C1352" w:rsidRDefault="000C1352" w:rsidP="000074B5">
      <w:r>
        <w:separator/>
      </w:r>
    </w:p>
  </w:footnote>
  <w:footnote w:type="continuationSeparator" w:id="0">
    <w:p w14:paraId="49D97BC1" w14:textId="77777777" w:rsidR="000C1352" w:rsidRDefault="000C1352" w:rsidP="00007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F0D4C"/>
    <w:multiLevelType w:val="hybridMultilevel"/>
    <w:tmpl w:val="E3A025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F4283B"/>
    <w:multiLevelType w:val="hybridMultilevel"/>
    <w:tmpl w:val="428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E52C5"/>
    <w:multiLevelType w:val="hybridMultilevel"/>
    <w:tmpl w:val="479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F4E98"/>
    <w:multiLevelType w:val="hybridMultilevel"/>
    <w:tmpl w:val="3476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1664"/>
    <w:multiLevelType w:val="hybridMultilevel"/>
    <w:tmpl w:val="40C8950C"/>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2E9381D"/>
    <w:multiLevelType w:val="hybridMultilevel"/>
    <w:tmpl w:val="D1740F9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A721E"/>
    <w:multiLevelType w:val="hybridMultilevel"/>
    <w:tmpl w:val="612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20C3"/>
    <w:multiLevelType w:val="hybridMultilevel"/>
    <w:tmpl w:val="1AC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231DE"/>
    <w:multiLevelType w:val="hybridMultilevel"/>
    <w:tmpl w:val="B5C288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5E16F2F"/>
    <w:multiLevelType w:val="hybridMultilevel"/>
    <w:tmpl w:val="7002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B7C4E"/>
    <w:multiLevelType w:val="hybridMultilevel"/>
    <w:tmpl w:val="49407994"/>
    <w:lvl w:ilvl="0" w:tplc="2FF07162">
      <w:start w:val="1"/>
      <w:numFmt w:val="decimal"/>
      <w:lvlText w:val="%1)"/>
      <w:lvlJc w:val="left"/>
      <w:pPr>
        <w:ind w:left="720" w:hanging="360"/>
      </w:pPr>
      <w:rPr>
        <w:rFonts w:ascii="Palatino Linotype" w:hAnsi="Palatino Linotype"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82D2C"/>
    <w:multiLevelType w:val="hybridMultilevel"/>
    <w:tmpl w:val="B2923C3A"/>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FB3A20"/>
    <w:multiLevelType w:val="hybridMultilevel"/>
    <w:tmpl w:val="5442BE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0B0964"/>
    <w:multiLevelType w:val="hybridMultilevel"/>
    <w:tmpl w:val="EEF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752AF"/>
    <w:multiLevelType w:val="hybridMultilevel"/>
    <w:tmpl w:val="86C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F2648D"/>
    <w:multiLevelType w:val="hybridMultilevel"/>
    <w:tmpl w:val="98AEE63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5753E"/>
    <w:multiLevelType w:val="hybridMultilevel"/>
    <w:tmpl w:val="576A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47A10"/>
    <w:multiLevelType w:val="hybridMultilevel"/>
    <w:tmpl w:val="17D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76B7C"/>
    <w:multiLevelType w:val="hybridMultilevel"/>
    <w:tmpl w:val="390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36A5F"/>
    <w:multiLevelType w:val="hybridMultilevel"/>
    <w:tmpl w:val="31665E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75F76"/>
    <w:multiLevelType w:val="hybridMultilevel"/>
    <w:tmpl w:val="593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009B7"/>
    <w:multiLevelType w:val="hybridMultilevel"/>
    <w:tmpl w:val="B908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17C93"/>
    <w:multiLevelType w:val="hybridMultilevel"/>
    <w:tmpl w:val="BB26338E"/>
    <w:lvl w:ilvl="0" w:tplc="00010409">
      <w:start w:val="1"/>
      <w:numFmt w:val="bullet"/>
      <w:lvlText w:val=""/>
      <w:lvlJc w:val="left"/>
      <w:pPr>
        <w:tabs>
          <w:tab w:val="num" w:pos="720"/>
        </w:tabs>
        <w:ind w:left="720" w:hanging="360"/>
      </w:pPr>
      <w:rPr>
        <w:rFonts w:ascii="Symbol" w:hAnsi="Symbol" w:hint="default"/>
      </w:rPr>
    </w:lvl>
    <w:lvl w:ilvl="1" w:tplc="2D8E69E6">
      <w:start w:val="1"/>
      <w:numFmt w:val="bullet"/>
      <w:lvlText w:val="o"/>
      <w:lvlJc w:val="left"/>
      <w:pPr>
        <w:ind w:left="1440" w:hanging="360"/>
      </w:pPr>
      <w:rPr>
        <w:rFonts w:ascii="Courier New" w:hAnsi="Courier New" w:cs="Wingdings" w:hint="default"/>
      </w:rPr>
    </w:lvl>
    <w:lvl w:ilvl="2" w:tplc="A812F752" w:tentative="1">
      <w:start w:val="1"/>
      <w:numFmt w:val="bullet"/>
      <w:lvlText w:val=""/>
      <w:lvlJc w:val="left"/>
      <w:pPr>
        <w:ind w:left="2160" w:hanging="360"/>
      </w:pPr>
      <w:rPr>
        <w:rFonts w:ascii="Wingdings" w:hAnsi="Wingdings" w:hint="default"/>
      </w:rPr>
    </w:lvl>
    <w:lvl w:ilvl="3" w:tplc="A21A2DF6" w:tentative="1">
      <w:start w:val="1"/>
      <w:numFmt w:val="bullet"/>
      <w:lvlText w:val=""/>
      <w:lvlJc w:val="left"/>
      <w:pPr>
        <w:ind w:left="2880" w:hanging="360"/>
      </w:pPr>
      <w:rPr>
        <w:rFonts w:ascii="Symbol" w:hAnsi="Symbol" w:hint="default"/>
      </w:rPr>
    </w:lvl>
    <w:lvl w:ilvl="4" w:tplc="F8FC3462" w:tentative="1">
      <w:start w:val="1"/>
      <w:numFmt w:val="bullet"/>
      <w:lvlText w:val="o"/>
      <w:lvlJc w:val="left"/>
      <w:pPr>
        <w:ind w:left="3600" w:hanging="360"/>
      </w:pPr>
      <w:rPr>
        <w:rFonts w:ascii="Courier New" w:hAnsi="Courier New" w:cs="Wingdings" w:hint="default"/>
      </w:rPr>
    </w:lvl>
    <w:lvl w:ilvl="5" w:tplc="8916A104" w:tentative="1">
      <w:start w:val="1"/>
      <w:numFmt w:val="bullet"/>
      <w:lvlText w:val=""/>
      <w:lvlJc w:val="left"/>
      <w:pPr>
        <w:ind w:left="4320" w:hanging="360"/>
      </w:pPr>
      <w:rPr>
        <w:rFonts w:ascii="Wingdings" w:hAnsi="Wingdings" w:hint="default"/>
      </w:rPr>
    </w:lvl>
    <w:lvl w:ilvl="6" w:tplc="912C8180" w:tentative="1">
      <w:start w:val="1"/>
      <w:numFmt w:val="bullet"/>
      <w:lvlText w:val=""/>
      <w:lvlJc w:val="left"/>
      <w:pPr>
        <w:ind w:left="5040" w:hanging="360"/>
      </w:pPr>
      <w:rPr>
        <w:rFonts w:ascii="Symbol" w:hAnsi="Symbol" w:hint="default"/>
      </w:rPr>
    </w:lvl>
    <w:lvl w:ilvl="7" w:tplc="8E6CAD7A" w:tentative="1">
      <w:start w:val="1"/>
      <w:numFmt w:val="bullet"/>
      <w:lvlText w:val="o"/>
      <w:lvlJc w:val="left"/>
      <w:pPr>
        <w:ind w:left="5760" w:hanging="360"/>
      </w:pPr>
      <w:rPr>
        <w:rFonts w:ascii="Courier New" w:hAnsi="Courier New" w:cs="Wingdings" w:hint="default"/>
      </w:rPr>
    </w:lvl>
    <w:lvl w:ilvl="8" w:tplc="78043B12" w:tentative="1">
      <w:start w:val="1"/>
      <w:numFmt w:val="bullet"/>
      <w:lvlText w:val=""/>
      <w:lvlJc w:val="left"/>
      <w:pPr>
        <w:ind w:left="6480" w:hanging="360"/>
      </w:pPr>
      <w:rPr>
        <w:rFonts w:ascii="Wingdings" w:hAnsi="Wingdings" w:hint="default"/>
      </w:rPr>
    </w:lvl>
  </w:abstractNum>
  <w:abstractNum w:abstractNumId="34">
    <w:nsid w:val="63237FD6"/>
    <w:multiLevelType w:val="hybridMultilevel"/>
    <w:tmpl w:val="F7D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67B8B"/>
    <w:multiLevelType w:val="hybridMultilevel"/>
    <w:tmpl w:val="B9D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F1A7B"/>
    <w:multiLevelType w:val="hybridMultilevel"/>
    <w:tmpl w:val="1A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A376D"/>
    <w:multiLevelType w:val="hybridMultilevel"/>
    <w:tmpl w:val="11C89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8146F"/>
    <w:multiLevelType w:val="hybridMultilevel"/>
    <w:tmpl w:val="2586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D5450"/>
    <w:multiLevelType w:val="hybridMultilevel"/>
    <w:tmpl w:val="919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E7F9B"/>
    <w:multiLevelType w:val="hybridMultilevel"/>
    <w:tmpl w:val="0E9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03D97"/>
    <w:multiLevelType w:val="hybridMultilevel"/>
    <w:tmpl w:val="16B475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A0094F"/>
    <w:multiLevelType w:val="hybridMultilevel"/>
    <w:tmpl w:val="C58A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34684"/>
    <w:multiLevelType w:val="hybridMultilevel"/>
    <w:tmpl w:val="D646EAC0"/>
    <w:lvl w:ilvl="0" w:tplc="6F2E9F58">
      <w:start w:val="1"/>
      <w:numFmt w:val="decimal"/>
      <w:lvlText w:val="%1."/>
      <w:lvlJc w:val="left"/>
      <w:pPr>
        <w:tabs>
          <w:tab w:val="num" w:pos="720"/>
        </w:tabs>
        <w:ind w:left="720" w:hanging="360"/>
      </w:pPr>
    </w:lvl>
    <w:lvl w:ilvl="1" w:tplc="85F474CC" w:tentative="1">
      <w:start w:val="1"/>
      <w:numFmt w:val="decimal"/>
      <w:lvlText w:val="%2."/>
      <w:lvlJc w:val="left"/>
      <w:pPr>
        <w:tabs>
          <w:tab w:val="num" w:pos="1440"/>
        </w:tabs>
        <w:ind w:left="1440" w:hanging="360"/>
      </w:pPr>
    </w:lvl>
    <w:lvl w:ilvl="2" w:tplc="4EE28236" w:tentative="1">
      <w:start w:val="1"/>
      <w:numFmt w:val="decimal"/>
      <w:lvlText w:val="%3."/>
      <w:lvlJc w:val="left"/>
      <w:pPr>
        <w:tabs>
          <w:tab w:val="num" w:pos="2160"/>
        </w:tabs>
        <w:ind w:left="2160" w:hanging="360"/>
      </w:pPr>
    </w:lvl>
    <w:lvl w:ilvl="3" w:tplc="B7CE06A8" w:tentative="1">
      <w:start w:val="1"/>
      <w:numFmt w:val="decimal"/>
      <w:lvlText w:val="%4."/>
      <w:lvlJc w:val="left"/>
      <w:pPr>
        <w:tabs>
          <w:tab w:val="num" w:pos="2880"/>
        </w:tabs>
        <w:ind w:left="2880" w:hanging="360"/>
      </w:pPr>
    </w:lvl>
    <w:lvl w:ilvl="4" w:tplc="963280D4" w:tentative="1">
      <w:start w:val="1"/>
      <w:numFmt w:val="decimal"/>
      <w:lvlText w:val="%5."/>
      <w:lvlJc w:val="left"/>
      <w:pPr>
        <w:tabs>
          <w:tab w:val="num" w:pos="3600"/>
        </w:tabs>
        <w:ind w:left="3600" w:hanging="360"/>
      </w:pPr>
    </w:lvl>
    <w:lvl w:ilvl="5" w:tplc="B69C1516" w:tentative="1">
      <w:start w:val="1"/>
      <w:numFmt w:val="decimal"/>
      <w:lvlText w:val="%6."/>
      <w:lvlJc w:val="left"/>
      <w:pPr>
        <w:tabs>
          <w:tab w:val="num" w:pos="4320"/>
        </w:tabs>
        <w:ind w:left="4320" w:hanging="360"/>
      </w:pPr>
    </w:lvl>
    <w:lvl w:ilvl="6" w:tplc="5C021FB8" w:tentative="1">
      <w:start w:val="1"/>
      <w:numFmt w:val="decimal"/>
      <w:lvlText w:val="%7."/>
      <w:lvlJc w:val="left"/>
      <w:pPr>
        <w:tabs>
          <w:tab w:val="num" w:pos="5040"/>
        </w:tabs>
        <w:ind w:left="5040" w:hanging="360"/>
      </w:pPr>
    </w:lvl>
    <w:lvl w:ilvl="7" w:tplc="167840C2" w:tentative="1">
      <w:start w:val="1"/>
      <w:numFmt w:val="decimal"/>
      <w:lvlText w:val="%8."/>
      <w:lvlJc w:val="left"/>
      <w:pPr>
        <w:tabs>
          <w:tab w:val="num" w:pos="5760"/>
        </w:tabs>
        <w:ind w:left="5760" w:hanging="360"/>
      </w:pPr>
    </w:lvl>
    <w:lvl w:ilvl="8" w:tplc="B3CACABE" w:tentative="1">
      <w:start w:val="1"/>
      <w:numFmt w:val="decimal"/>
      <w:lvlText w:val="%9."/>
      <w:lvlJc w:val="left"/>
      <w:pPr>
        <w:tabs>
          <w:tab w:val="num" w:pos="6480"/>
        </w:tabs>
        <w:ind w:left="6480" w:hanging="360"/>
      </w:pPr>
    </w:lvl>
  </w:abstractNum>
  <w:abstractNum w:abstractNumId="48">
    <w:nsid w:val="7C6B714F"/>
    <w:multiLevelType w:val="hybridMultilevel"/>
    <w:tmpl w:val="7FC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1"/>
  </w:num>
  <w:num w:numId="4">
    <w:abstractNumId w:val="28"/>
  </w:num>
  <w:num w:numId="5">
    <w:abstractNumId w:val="9"/>
  </w:num>
  <w:num w:numId="6">
    <w:abstractNumId w:val="15"/>
  </w:num>
  <w:num w:numId="7">
    <w:abstractNumId w:val="43"/>
  </w:num>
  <w:num w:numId="8">
    <w:abstractNumId w:val="5"/>
  </w:num>
  <w:num w:numId="9">
    <w:abstractNumId w:val="39"/>
  </w:num>
  <w:num w:numId="10">
    <w:abstractNumId w:val="41"/>
  </w:num>
  <w:num w:numId="11">
    <w:abstractNumId w:val="32"/>
  </w:num>
  <w:num w:numId="12">
    <w:abstractNumId w:val="20"/>
  </w:num>
  <w:num w:numId="13">
    <w:abstractNumId w:val="26"/>
  </w:num>
  <w:num w:numId="14">
    <w:abstractNumId w:val="25"/>
  </w:num>
  <w:num w:numId="15">
    <w:abstractNumId w:val="18"/>
  </w:num>
  <w:num w:numId="16">
    <w:abstractNumId w:val="2"/>
  </w:num>
  <w:num w:numId="17">
    <w:abstractNumId w:val="38"/>
  </w:num>
  <w:num w:numId="18">
    <w:abstractNumId w:val="46"/>
  </w:num>
  <w:num w:numId="19">
    <w:abstractNumId w:val="48"/>
  </w:num>
  <w:num w:numId="20">
    <w:abstractNumId w:val="23"/>
  </w:num>
  <w:num w:numId="21">
    <w:abstractNumId w:val="8"/>
  </w:num>
  <w:num w:numId="22">
    <w:abstractNumId w:val="12"/>
  </w:num>
  <w:num w:numId="23">
    <w:abstractNumId w:val="1"/>
  </w:num>
  <w:num w:numId="24">
    <w:abstractNumId w:val="24"/>
  </w:num>
  <w:num w:numId="25">
    <w:abstractNumId w:val="29"/>
  </w:num>
  <w:num w:numId="26">
    <w:abstractNumId w:val="21"/>
  </w:num>
  <w:num w:numId="27">
    <w:abstractNumId w:val="33"/>
  </w:num>
  <w:num w:numId="28">
    <w:abstractNumId w:val="16"/>
  </w:num>
  <w:num w:numId="29">
    <w:abstractNumId w:val="19"/>
  </w:num>
  <w:num w:numId="30">
    <w:abstractNumId w:val="22"/>
  </w:num>
  <w:num w:numId="31">
    <w:abstractNumId w:val="37"/>
  </w:num>
  <w:num w:numId="32">
    <w:abstractNumId w:val="13"/>
  </w:num>
  <w:num w:numId="33">
    <w:abstractNumId w:val="4"/>
  </w:num>
  <w:num w:numId="34">
    <w:abstractNumId w:val="40"/>
  </w:num>
  <w:num w:numId="35">
    <w:abstractNumId w:val="7"/>
  </w:num>
  <w:num w:numId="36">
    <w:abstractNumId w:val="3"/>
  </w:num>
  <w:num w:numId="37">
    <w:abstractNumId w:val="34"/>
  </w:num>
  <w:num w:numId="38">
    <w:abstractNumId w:val="11"/>
  </w:num>
  <w:num w:numId="39">
    <w:abstractNumId w:val="17"/>
  </w:num>
  <w:num w:numId="40">
    <w:abstractNumId w:val="14"/>
  </w:num>
  <w:num w:numId="41">
    <w:abstractNumId w:val="44"/>
  </w:num>
  <w:num w:numId="42">
    <w:abstractNumId w:val="27"/>
  </w:num>
  <w:num w:numId="43">
    <w:abstractNumId w:val="42"/>
  </w:num>
  <w:num w:numId="44">
    <w:abstractNumId w:val="36"/>
  </w:num>
  <w:num w:numId="45">
    <w:abstractNumId w:val="10"/>
  </w:num>
  <w:num w:numId="46">
    <w:abstractNumId w:val="6"/>
  </w:num>
  <w:num w:numId="47">
    <w:abstractNumId w:val="0"/>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4E"/>
    <w:rsid w:val="00002505"/>
    <w:rsid w:val="000074B5"/>
    <w:rsid w:val="0001450D"/>
    <w:rsid w:val="00020691"/>
    <w:rsid w:val="000250EF"/>
    <w:rsid w:val="0003026A"/>
    <w:rsid w:val="00033941"/>
    <w:rsid w:val="00040A5F"/>
    <w:rsid w:val="000448AC"/>
    <w:rsid w:val="000517B2"/>
    <w:rsid w:val="00051949"/>
    <w:rsid w:val="00071DAF"/>
    <w:rsid w:val="00082201"/>
    <w:rsid w:val="0008416B"/>
    <w:rsid w:val="000955A8"/>
    <w:rsid w:val="000A1CA9"/>
    <w:rsid w:val="000A4A98"/>
    <w:rsid w:val="000A62F7"/>
    <w:rsid w:val="000B2DB1"/>
    <w:rsid w:val="000C1352"/>
    <w:rsid w:val="000C6BF3"/>
    <w:rsid w:val="000D48A6"/>
    <w:rsid w:val="000D634F"/>
    <w:rsid w:val="000E0145"/>
    <w:rsid w:val="000E0179"/>
    <w:rsid w:val="000E319C"/>
    <w:rsid w:val="000E4D7F"/>
    <w:rsid w:val="000E7FBA"/>
    <w:rsid w:val="000F0DFE"/>
    <w:rsid w:val="000F3459"/>
    <w:rsid w:val="000F4056"/>
    <w:rsid w:val="000F4664"/>
    <w:rsid w:val="000F6074"/>
    <w:rsid w:val="00106769"/>
    <w:rsid w:val="00113B8B"/>
    <w:rsid w:val="00137746"/>
    <w:rsid w:val="00140DC6"/>
    <w:rsid w:val="00144D10"/>
    <w:rsid w:val="00152920"/>
    <w:rsid w:val="00154EA0"/>
    <w:rsid w:val="00156FC2"/>
    <w:rsid w:val="001765BF"/>
    <w:rsid w:val="001803FB"/>
    <w:rsid w:val="00185F3D"/>
    <w:rsid w:val="00190C2F"/>
    <w:rsid w:val="0019751D"/>
    <w:rsid w:val="001A2972"/>
    <w:rsid w:val="001B1332"/>
    <w:rsid w:val="001B1D73"/>
    <w:rsid w:val="001B321E"/>
    <w:rsid w:val="001B3841"/>
    <w:rsid w:val="001C16EE"/>
    <w:rsid w:val="001C2135"/>
    <w:rsid w:val="001C42B4"/>
    <w:rsid w:val="001C5513"/>
    <w:rsid w:val="001C60BA"/>
    <w:rsid w:val="001C6A1B"/>
    <w:rsid w:val="001D28B8"/>
    <w:rsid w:val="001D3CF2"/>
    <w:rsid w:val="001D5014"/>
    <w:rsid w:val="001D5816"/>
    <w:rsid w:val="001D5F71"/>
    <w:rsid w:val="001E0EF6"/>
    <w:rsid w:val="001F0BCE"/>
    <w:rsid w:val="001F0C50"/>
    <w:rsid w:val="001F2307"/>
    <w:rsid w:val="00202B64"/>
    <w:rsid w:val="00205737"/>
    <w:rsid w:val="00215EAF"/>
    <w:rsid w:val="0021768E"/>
    <w:rsid w:val="0022255F"/>
    <w:rsid w:val="00224D29"/>
    <w:rsid w:val="0022565A"/>
    <w:rsid w:val="00226C0A"/>
    <w:rsid w:val="00230733"/>
    <w:rsid w:val="00232693"/>
    <w:rsid w:val="00234D24"/>
    <w:rsid w:val="002420F9"/>
    <w:rsid w:val="002430D4"/>
    <w:rsid w:val="002443B4"/>
    <w:rsid w:val="0024626C"/>
    <w:rsid w:val="00246C25"/>
    <w:rsid w:val="00254B3C"/>
    <w:rsid w:val="00261B10"/>
    <w:rsid w:val="00262180"/>
    <w:rsid w:val="002635CA"/>
    <w:rsid w:val="00273C83"/>
    <w:rsid w:val="00282B1A"/>
    <w:rsid w:val="0028337C"/>
    <w:rsid w:val="00291B11"/>
    <w:rsid w:val="002A4993"/>
    <w:rsid w:val="002B67FE"/>
    <w:rsid w:val="002C0494"/>
    <w:rsid w:val="002D28B1"/>
    <w:rsid w:val="002D5C78"/>
    <w:rsid w:val="002D656F"/>
    <w:rsid w:val="002D686C"/>
    <w:rsid w:val="002E0E3F"/>
    <w:rsid w:val="002F22AF"/>
    <w:rsid w:val="00312A63"/>
    <w:rsid w:val="00323395"/>
    <w:rsid w:val="00325BB0"/>
    <w:rsid w:val="0032734C"/>
    <w:rsid w:val="00330CAA"/>
    <w:rsid w:val="00334E73"/>
    <w:rsid w:val="0034351A"/>
    <w:rsid w:val="003475A9"/>
    <w:rsid w:val="003534EA"/>
    <w:rsid w:val="00354247"/>
    <w:rsid w:val="003556A0"/>
    <w:rsid w:val="0036018A"/>
    <w:rsid w:val="00376673"/>
    <w:rsid w:val="003828BE"/>
    <w:rsid w:val="00384BC6"/>
    <w:rsid w:val="00387246"/>
    <w:rsid w:val="00394E70"/>
    <w:rsid w:val="00396092"/>
    <w:rsid w:val="003A1DFC"/>
    <w:rsid w:val="003A275E"/>
    <w:rsid w:val="003B1337"/>
    <w:rsid w:val="003B43B1"/>
    <w:rsid w:val="003C7981"/>
    <w:rsid w:val="003D0704"/>
    <w:rsid w:val="003D106D"/>
    <w:rsid w:val="003D1B5A"/>
    <w:rsid w:val="003D3CD7"/>
    <w:rsid w:val="003E5781"/>
    <w:rsid w:val="003F3F6A"/>
    <w:rsid w:val="004071A0"/>
    <w:rsid w:val="00415152"/>
    <w:rsid w:val="004378ED"/>
    <w:rsid w:val="004428B0"/>
    <w:rsid w:val="00447EA4"/>
    <w:rsid w:val="00454294"/>
    <w:rsid w:val="00455052"/>
    <w:rsid w:val="004830C1"/>
    <w:rsid w:val="00484807"/>
    <w:rsid w:val="004849C1"/>
    <w:rsid w:val="004B3E29"/>
    <w:rsid w:val="004C02D4"/>
    <w:rsid w:val="004C444D"/>
    <w:rsid w:val="004D2228"/>
    <w:rsid w:val="004E704D"/>
    <w:rsid w:val="004F682C"/>
    <w:rsid w:val="0050468D"/>
    <w:rsid w:val="00517CE4"/>
    <w:rsid w:val="00523F2A"/>
    <w:rsid w:val="00525826"/>
    <w:rsid w:val="00527DA8"/>
    <w:rsid w:val="0053310A"/>
    <w:rsid w:val="00547024"/>
    <w:rsid w:val="0054791D"/>
    <w:rsid w:val="00554ED2"/>
    <w:rsid w:val="005601DA"/>
    <w:rsid w:val="00561C93"/>
    <w:rsid w:val="0057602B"/>
    <w:rsid w:val="00580156"/>
    <w:rsid w:val="00580871"/>
    <w:rsid w:val="00595706"/>
    <w:rsid w:val="005A5DDD"/>
    <w:rsid w:val="005B1EC5"/>
    <w:rsid w:val="005B388E"/>
    <w:rsid w:val="005B5962"/>
    <w:rsid w:val="005C3530"/>
    <w:rsid w:val="005C6B3C"/>
    <w:rsid w:val="005D62CE"/>
    <w:rsid w:val="005E0F38"/>
    <w:rsid w:val="005E4FA0"/>
    <w:rsid w:val="005E657B"/>
    <w:rsid w:val="005F2189"/>
    <w:rsid w:val="005F2CDA"/>
    <w:rsid w:val="0060522E"/>
    <w:rsid w:val="00613961"/>
    <w:rsid w:val="006143DC"/>
    <w:rsid w:val="006203BD"/>
    <w:rsid w:val="006232AE"/>
    <w:rsid w:val="0063222A"/>
    <w:rsid w:val="00643DED"/>
    <w:rsid w:val="006462B8"/>
    <w:rsid w:val="00647619"/>
    <w:rsid w:val="006514C8"/>
    <w:rsid w:val="00654004"/>
    <w:rsid w:val="00656F53"/>
    <w:rsid w:val="00657C5C"/>
    <w:rsid w:val="00661F71"/>
    <w:rsid w:val="00663317"/>
    <w:rsid w:val="00663E96"/>
    <w:rsid w:val="006647A2"/>
    <w:rsid w:val="00666013"/>
    <w:rsid w:val="0066671B"/>
    <w:rsid w:val="0067246D"/>
    <w:rsid w:val="00686A85"/>
    <w:rsid w:val="006B24EB"/>
    <w:rsid w:val="006B657B"/>
    <w:rsid w:val="006C1FE0"/>
    <w:rsid w:val="006C6BD5"/>
    <w:rsid w:val="006C6CD3"/>
    <w:rsid w:val="006C7415"/>
    <w:rsid w:val="006D0728"/>
    <w:rsid w:val="006D249D"/>
    <w:rsid w:val="006D41D5"/>
    <w:rsid w:val="006D474E"/>
    <w:rsid w:val="006D4936"/>
    <w:rsid w:val="006E47F1"/>
    <w:rsid w:val="006E550B"/>
    <w:rsid w:val="006E6BB1"/>
    <w:rsid w:val="007028EC"/>
    <w:rsid w:val="00713F12"/>
    <w:rsid w:val="00720552"/>
    <w:rsid w:val="00726FF9"/>
    <w:rsid w:val="00731089"/>
    <w:rsid w:val="00731E48"/>
    <w:rsid w:val="00732374"/>
    <w:rsid w:val="00735C90"/>
    <w:rsid w:val="00740DE3"/>
    <w:rsid w:val="007545AE"/>
    <w:rsid w:val="007576F7"/>
    <w:rsid w:val="00763C67"/>
    <w:rsid w:val="00770AAE"/>
    <w:rsid w:val="00770C1D"/>
    <w:rsid w:val="007725E3"/>
    <w:rsid w:val="00777670"/>
    <w:rsid w:val="00780F52"/>
    <w:rsid w:val="007863E3"/>
    <w:rsid w:val="00790CF4"/>
    <w:rsid w:val="007A08DA"/>
    <w:rsid w:val="007A1016"/>
    <w:rsid w:val="007A1B71"/>
    <w:rsid w:val="007A52CC"/>
    <w:rsid w:val="007B62AB"/>
    <w:rsid w:val="007C0038"/>
    <w:rsid w:val="007C3A50"/>
    <w:rsid w:val="007C472D"/>
    <w:rsid w:val="007C6607"/>
    <w:rsid w:val="007C7F78"/>
    <w:rsid w:val="007D204F"/>
    <w:rsid w:val="007D401B"/>
    <w:rsid w:val="007E6C4F"/>
    <w:rsid w:val="007F064D"/>
    <w:rsid w:val="007F5E48"/>
    <w:rsid w:val="007F797D"/>
    <w:rsid w:val="0080146C"/>
    <w:rsid w:val="00811823"/>
    <w:rsid w:val="008135F9"/>
    <w:rsid w:val="008151FF"/>
    <w:rsid w:val="00817603"/>
    <w:rsid w:val="00845A09"/>
    <w:rsid w:val="00852970"/>
    <w:rsid w:val="00854925"/>
    <w:rsid w:val="008647BC"/>
    <w:rsid w:val="00865C58"/>
    <w:rsid w:val="0086783F"/>
    <w:rsid w:val="00872E16"/>
    <w:rsid w:val="00874EFC"/>
    <w:rsid w:val="00876247"/>
    <w:rsid w:val="00881535"/>
    <w:rsid w:val="0089157B"/>
    <w:rsid w:val="00896662"/>
    <w:rsid w:val="00897630"/>
    <w:rsid w:val="008A301E"/>
    <w:rsid w:val="008B5E87"/>
    <w:rsid w:val="008B6399"/>
    <w:rsid w:val="008D5B80"/>
    <w:rsid w:val="008E6887"/>
    <w:rsid w:val="008F0E22"/>
    <w:rsid w:val="008F3E80"/>
    <w:rsid w:val="008F634F"/>
    <w:rsid w:val="008F69B8"/>
    <w:rsid w:val="00913889"/>
    <w:rsid w:val="009252F3"/>
    <w:rsid w:val="00926437"/>
    <w:rsid w:val="00926D70"/>
    <w:rsid w:val="00932498"/>
    <w:rsid w:val="009343DB"/>
    <w:rsid w:val="0093449A"/>
    <w:rsid w:val="00944D4F"/>
    <w:rsid w:val="00947272"/>
    <w:rsid w:val="0096567A"/>
    <w:rsid w:val="009657A9"/>
    <w:rsid w:val="00994680"/>
    <w:rsid w:val="00995397"/>
    <w:rsid w:val="009A4D50"/>
    <w:rsid w:val="009E15DC"/>
    <w:rsid w:val="009E3E73"/>
    <w:rsid w:val="009E47EF"/>
    <w:rsid w:val="009E56A2"/>
    <w:rsid w:val="009F0052"/>
    <w:rsid w:val="009F2142"/>
    <w:rsid w:val="009F24BE"/>
    <w:rsid w:val="009F5860"/>
    <w:rsid w:val="00A06396"/>
    <w:rsid w:val="00A11818"/>
    <w:rsid w:val="00A15F23"/>
    <w:rsid w:val="00A21CE2"/>
    <w:rsid w:val="00A27710"/>
    <w:rsid w:val="00A30558"/>
    <w:rsid w:val="00A51A84"/>
    <w:rsid w:val="00A5412F"/>
    <w:rsid w:val="00A57E12"/>
    <w:rsid w:val="00A826F0"/>
    <w:rsid w:val="00A87826"/>
    <w:rsid w:val="00A92250"/>
    <w:rsid w:val="00A94118"/>
    <w:rsid w:val="00AA5D3D"/>
    <w:rsid w:val="00AB4E1C"/>
    <w:rsid w:val="00AC24F1"/>
    <w:rsid w:val="00AD627C"/>
    <w:rsid w:val="00AD6476"/>
    <w:rsid w:val="00AD65EA"/>
    <w:rsid w:val="00AE6044"/>
    <w:rsid w:val="00AF6100"/>
    <w:rsid w:val="00AF797F"/>
    <w:rsid w:val="00B0098F"/>
    <w:rsid w:val="00B12BE8"/>
    <w:rsid w:val="00B27812"/>
    <w:rsid w:val="00B35124"/>
    <w:rsid w:val="00B35366"/>
    <w:rsid w:val="00B36122"/>
    <w:rsid w:val="00B368B7"/>
    <w:rsid w:val="00B36AB1"/>
    <w:rsid w:val="00B43F0C"/>
    <w:rsid w:val="00B44295"/>
    <w:rsid w:val="00B45565"/>
    <w:rsid w:val="00B51148"/>
    <w:rsid w:val="00B60536"/>
    <w:rsid w:val="00B628AC"/>
    <w:rsid w:val="00B82260"/>
    <w:rsid w:val="00B830C7"/>
    <w:rsid w:val="00B90175"/>
    <w:rsid w:val="00BA0F2A"/>
    <w:rsid w:val="00BA1CDC"/>
    <w:rsid w:val="00BA699F"/>
    <w:rsid w:val="00BB0C4F"/>
    <w:rsid w:val="00BB0FB1"/>
    <w:rsid w:val="00BC3060"/>
    <w:rsid w:val="00BC65F9"/>
    <w:rsid w:val="00BD3F99"/>
    <w:rsid w:val="00BE156B"/>
    <w:rsid w:val="00BE1A16"/>
    <w:rsid w:val="00BE3F30"/>
    <w:rsid w:val="00BE4AA1"/>
    <w:rsid w:val="00BE7C8B"/>
    <w:rsid w:val="00BE7EC7"/>
    <w:rsid w:val="00BF62E7"/>
    <w:rsid w:val="00BF6F8F"/>
    <w:rsid w:val="00BF7FE4"/>
    <w:rsid w:val="00C04138"/>
    <w:rsid w:val="00C1180A"/>
    <w:rsid w:val="00C1645F"/>
    <w:rsid w:val="00C232D5"/>
    <w:rsid w:val="00C236C4"/>
    <w:rsid w:val="00C323F5"/>
    <w:rsid w:val="00C32A8C"/>
    <w:rsid w:val="00C32B46"/>
    <w:rsid w:val="00C373A6"/>
    <w:rsid w:val="00C45697"/>
    <w:rsid w:val="00C65F4A"/>
    <w:rsid w:val="00C70BE9"/>
    <w:rsid w:val="00C9368A"/>
    <w:rsid w:val="00CA05F4"/>
    <w:rsid w:val="00CB5842"/>
    <w:rsid w:val="00CB6779"/>
    <w:rsid w:val="00CC1854"/>
    <w:rsid w:val="00CC3692"/>
    <w:rsid w:val="00CC5BA4"/>
    <w:rsid w:val="00CE0DA4"/>
    <w:rsid w:val="00CE5A7F"/>
    <w:rsid w:val="00D0155C"/>
    <w:rsid w:val="00D03F43"/>
    <w:rsid w:val="00D12AF8"/>
    <w:rsid w:val="00D15AAF"/>
    <w:rsid w:val="00D17563"/>
    <w:rsid w:val="00D22391"/>
    <w:rsid w:val="00D24360"/>
    <w:rsid w:val="00D25F4A"/>
    <w:rsid w:val="00D36BC9"/>
    <w:rsid w:val="00D4182D"/>
    <w:rsid w:val="00D46B8F"/>
    <w:rsid w:val="00D50D1B"/>
    <w:rsid w:val="00D531A7"/>
    <w:rsid w:val="00D53DC5"/>
    <w:rsid w:val="00D55AA4"/>
    <w:rsid w:val="00D66307"/>
    <w:rsid w:val="00D74BF5"/>
    <w:rsid w:val="00D77B7A"/>
    <w:rsid w:val="00D80EED"/>
    <w:rsid w:val="00D81075"/>
    <w:rsid w:val="00D82701"/>
    <w:rsid w:val="00D84292"/>
    <w:rsid w:val="00DB42B6"/>
    <w:rsid w:val="00DB5891"/>
    <w:rsid w:val="00DB62F5"/>
    <w:rsid w:val="00DE0705"/>
    <w:rsid w:val="00DE098C"/>
    <w:rsid w:val="00DE3BB6"/>
    <w:rsid w:val="00DF56E1"/>
    <w:rsid w:val="00DF5B38"/>
    <w:rsid w:val="00DF68FB"/>
    <w:rsid w:val="00E03A7B"/>
    <w:rsid w:val="00E04CCD"/>
    <w:rsid w:val="00E0519F"/>
    <w:rsid w:val="00E05262"/>
    <w:rsid w:val="00E0699E"/>
    <w:rsid w:val="00E1118E"/>
    <w:rsid w:val="00E11E9B"/>
    <w:rsid w:val="00E140C3"/>
    <w:rsid w:val="00E27AE4"/>
    <w:rsid w:val="00E30062"/>
    <w:rsid w:val="00E32C44"/>
    <w:rsid w:val="00E34D11"/>
    <w:rsid w:val="00E37E1D"/>
    <w:rsid w:val="00E4041C"/>
    <w:rsid w:val="00E42DA6"/>
    <w:rsid w:val="00E500A1"/>
    <w:rsid w:val="00E539FB"/>
    <w:rsid w:val="00E56D76"/>
    <w:rsid w:val="00E56FE1"/>
    <w:rsid w:val="00E61C53"/>
    <w:rsid w:val="00E6468B"/>
    <w:rsid w:val="00E646AD"/>
    <w:rsid w:val="00E656F1"/>
    <w:rsid w:val="00E661E4"/>
    <w:rsid w:val="00E726AC"/>
    <w:rsid w:val="00E766C2"/>
    <w:rsid w:val="00E86E9C"/>
    <w:rsid w:val="00E920BA"/>
    <w:rsid w:val="00EA02B0"/>
    <w:rsid w:val="00EA0AE8"/>
    <w:rsid w:val="00EA1E4A"/>
    <w:rsid w:val="00EB238A"/>
    <w:rsid w:val="00EC1825"/>
    <w:rsid w:val="00EC6B8C"/>
    <w:rsid w:val="00ED58F5"/>
    <w:rsid w:val="00ED611D"/>
    <w:rsid w:val="00EE6F6A"/>
    <w:rsid w:val="00EF1BC9"/>
    <w:rsid w:val="00EF227A"/>
    <w:rsid w:val="00EF3D53"/>
    <w:rsid w:val="00EF53E0"/>
    <w:rsid w:val="00EF6AC8"/>
    <w:rsid w:val="00F0019B"/>
    <w:rsid w:val="00F0088F"/>
    <w:rsid w:val="00F01CA7"/>
    <w:rsid w:val="00F026F1"/>
    <w:rsid w:val="00F0369A"/>
    <w:rsid w:val="00F04234"/>
    <w:rsid w:val="00F07B83"/>
    <w:rsid w:val="00F1713C"/>
    <w:rsid w:val="00F34D3A"/>
    <w:rsid w:val="00F35CF1"/>
    <w:rsid w:val="00F4233A"/>
    <w:rsid w:val="00F4392D"/>
    <w:rsid w:val="00F44C9A"/>
    <w:rsid w:val="00F50D69"/>
    <w:rsid w:val="00F51A3B"/>
    <w:rsid w:val="00F54D8A"/>
    <w:rsid w:val="00F57EE4"/>
    <w:rsid w:val="00F61194"/>
    <w:rsid w:val="00F85EDA"/>
    <w:rsid w:val="00F90FD3"/>
    <w:rsid w:val="00F91041"/>
    <w:rsid w:val="00F92CAE"/>
    <w:rsid w:val="00F9566B"/>
    <w:rsid w:val="00F96055"/>
    <w:rsid w:val="00FA114B"/>
    <w:rsid w:val="00FA5276"/>
    <w:rsid w:val="00FA792F"/>
    <w:rsid w:val="00FB0CD3"/>
    <w:rsid w:val="00FB15D6"/>
    <w:rsid w:val="00FE1755"/>
    <w:rsid w:val="00FF68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53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4E"/>
    <w:rPr>
      <w:sz w:val="24"/>
      <w:szCs w:val="24"/>
    </w:rPr>
  </w:style>
  <w:style w:type="paragraph" w:styleId="Heading1">
    <w:name w:val="heading 1"/>
    <w:basedOn w:val="Normal"/>
    <w:next w:val="Normal"/>
    <w:link w:val="Heading1Char"/>
    <w:uiPriority w:val="9"/>
    <w:qFormat/>
    <w:rsid w:val="006D47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D47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D47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D47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D474E"/>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6D474E"/>
    <w:rPr>
      <w:rFonts w:ascii="Lucida Grande" w:hAnsi="Lucida Grande"/>
      <w:sz w:val="18"/>
      <w:szCs w:val="18"/>
    </w:rPr>
  </w:style>
  <w:style w:type="character" w:customStyle="1" w:styleId="BalloonTextChar">
    <w:name w:val="Balloon Text Char"/>
    <w:basedOn w:val="DefaultParagraphFont"/>
    <w:uiPriority w:val="99"/>
    <w:semiHidden/>
    <w:rsid w:val="006D474E"/>
    <w:rPr>
      <w:rFonts w:ascii="Lucida Grande" w:hAnsi="Lucida Grande"/>
      <w:sz w:val="18"/>
      <w:szCs w:val="18"/>
    </w:rPr>
  </w:style>
  <w:style w:type="table" w:styleId="TableGrid">
    <w:name w:val="Table Grid"/>
    <w:basedOn w:val="TableNormal"/>
    <w:rsid w:val="006D474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74E"/>
    <w:pPr>
      <w:ind w:left="720"/>
      <w:contextualSpacing/>
    </w:pPr>
  </w:style>
  <w:style w:type="character" w:styleId="Hyperlink">
    <w:name w:val="Hyperlink"/>
    <w:basedOn w:val="DefaultParagraphFont"/>
    <w:rsid w:val="006D474E"/>
    <w:rPr>
      <w:color w:val="0000FF"/>
      <w:u w:val="single"/>
    </w:rPr>
  </w:style>
  <w:style w:type="character" w:styleId="HTMLCite">
    <w:name w:val="HTML Cite"/>
    <w:basedOn w:val="DefaultParagraphFont"/>
    <w:uiPriority w:val="99"/>
    <w:rsid w:val="006D474E"/>
    <w:rPr>
      <w:i/>
    </w:rPr>
  </w:style>
  <w:style w:type="character" w:customStyle="1" w:styleId="BalloonTextChar1">
    <w:name w:val="Balloon Text Char1"/>
    <w:basedOn w:val="DefaultParagraphFont"/>
    <w:link w:val="BalloonText"/>
    <w:uiPriority w:val="99"/>
    <w:semiHidden/>
    <w:rsid w:val="006D474E"/>
    <w:rPr>
      <w:rFonts w:ascii="Lucida Grande" w:hAnsi="Lucida Grande"/>
      <w:sz w:val="18"/>
      <w:szCs w:val="18"/>
    </w:rPr>
  </w:style>
  <w:style w:type="paragraph" w:styleId="Footer">
    <w:name w:val="footer"/>
    <w:basedOn w:val="Normal"/>
    <w:link w:val="FooterChar"/>
    <w:uiPriority w:val="99"/>
    <w:unhideWhenUsed/>
    <w:rsid w:val="006D474E"/>
    <w:pPr>
      <w:tabs>
        <w:tab w:val="center" w:pos="4320"/>
        <w:tab w:val="right" w:pos="8640"/>
      </w:tabs>
    </w:pPr>
  </w:style>
  <w:style w:type="character" w:customStyle="1" w:styleId="FooterChar">
    <w:name w:val="Footer Char"/>
    <w:basedOn w:val="DefaultParagraphFont"/>
    <w:link w:val="Footer"/>
    <w:uiPriority w:val="99"/>
    <w:rsid w:val="006D474E"/>
    <w:rPr>
      <w:sz w:val="24"/>
      <w:szCs w:val="24"/>
    </w:rPr>
  </w:style>
  <w:style w:type="character" w:styleId="PageNumber">
    <w:name w:val="page number"/>
    <w:basedOn w:val="DefaultParagraphFont"/>
    <w:uiPriority w:val="99"/>
    <w:semiHidden/>
    <w:unhideWhenUsed/>
    <w:rsid w:val="006D474E"/>
  </w:style>
  <w:style w:type="paragraph" w:styleId="Header">
    <w:name w:val="header"/>
    <w:basedOn w:val="Normal"/>
    <w:link w:val="HeaderChar"/>
    <w:uiPriority w:val="99"/>
    <w:unhideWhenUsed/>
    <w:rsid w:val="006D474E"/>
    <w:pPr>
      <w:tabs>
        <w:tab w:val="center" w:pos="4320"/>
        <w:tab w:val="right" w:pos="8640"/>
      </w:tabs>
    </w:pPr>
  </w:style>
  <w:style w:type="character" w:customStyle="1" w:styleId="HeaderChar">
    <w:name w:val="Header Char"/>
    <w:basedOn w:val="DefaultParagraphFont"/>
    <w:link w:val="Header"/>
    <w:uiPriority w:val="99"/>
    <w:rsid w:val="006D474E"/>
    <w:rPr>
      <w:sz w:val="24"/>
      <w:szCs w:val="24"/>
    </w:rPr>
  </w:style>
  <w:style w:type="paragraph" w:styleId="TOCHeading">
    <w:name w:val="TOC Heading"/>
    <w:basedOn w:val="Heading1"/>
    <w:next w:val="Normal"/>
    <w:uiPriority w:val="39"/>
    <w:unhideWhenUsed/>
    <w:qFormat/>
    <w:rsid w:val="006D474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D474E"/>
    <w:pPr>
      <w:spacing w:before="120"/>
    </w:pPr>
    <w:rPr>
      <w:rFonts w:asciiTheme="majorHAnsi" w:hAnsiTheme="majorHAnsi"/>
      <w:b/>
      <w:color w:val="548DD4"/>
    </w:rPr>
  </w:style>
  <w:style w:type="paragraph" w:styleId="TOC2">
    <w:name w:val="toc 2"/>
    <w:basedOn w:val="Normal"/>
    <w:next w:val="Normal"/>
    <w:autoRedefine/>
    <w:uiPriority w:val="39"/>
    <w:unhideWhenUsed/>
    <w:rsid w:val="00BF6F8F"/>
    <w:rPr>
      <w:rFonts w:ascii="Cambria" w:hAnsi="Cambria"/>
      <w:i/>
      <w:sz w:val="22"/>
      <w:szCs w:val="22"/>
    </w:rPr>
  </w:style>
  <w:style w:type="paragraph" w:styleId="TOC3">
    <w:name w:val="toc 3"/>
    <w:basedOn w:val="Normal"/>
    <w:next w:val="Normal"/>
    <w:autoRedefine/>
    <w:uiPriority w:val="39"/>
    <w:semiHidden/>
    <w:unhideWhenUsed/>
    <w:rsid w:val="006D474E"/>
    <w:pPr>
      <w:ind w:left="240"/>
    </w:pPr>
    <w:rPr>
      <w:i/>
      <w:sz w:val="22"/>
      <w:szCs w:val="22"/>
    </w:rPr>
  </w:style>
  <w:style w:type="paragraph" w:styleId="TOC4">
    <w:name w:val="toc 4"/>
    <w:basedOn w:val="Normal"/>
    <w:next w:val="Normal"/>
    <w:autoRedefine/>
    <w:uiPriority w:val="39"/>
    <w:semiHidden/>
    <w:unhideWhenUsed/>
    <w:rsid w:val="006D474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D474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D474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D474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D474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D474E"/>
    <w:pPr>
      <w:pBdr>
        <w:between w:val="double" w:sz="6" w:space="0" w:color="auto"/>
      </w:pBdr>
      <w:ind w:left="1680"/>
    </w:pPr>
    <w:rPr>
      <w:sz w:val="20"/>
      <w:szCs w:val="20"/>
    </w:rPr>
  </w:style>
  <w:style w:type="paragraph" w:styleId="FootnoteText">
    <w:name w:val="footnote text"/>
    <w:basedOn w:val="Normal"/>
    <w:link w:val="FootnoteTextChar"/>
    <w:unhideWhenUsed/>
    <w:rsid w:val="006D474E"/>
    <w:rPr>
      <w:rFonts w:ascii="Cambria" w:eastAsia="Cambria" w:hAnsi="Cambria" w:cs="Times New Roman"/>
    </w:rPr>
  </w:style>
  <w:style w:type="character" w:customStyle="1" w:styleId="FootnoteTextChar">
    <w:name w:val="Footnote Text Char"/>
    <w:basedOn w:val="DefaultParagraphFont"/>
    <w:link w:val="FootnoteText"/>
    <w:rsid w:val="006D474E"/>
    <w:rPr>
      <w:rFonts w:ascii="Cambria" w:eastAsia="Cambria" w:hAnsi="Cambria" w:cs="Times New Roman"/>
      <w:sz w:val="24"/>
      <w:szCs w:val="24"/>
    </w:rPr>
  </w:style>
  <w:style w:type="character" w:styleId="FootnoteReference">
    <w:name w:val="footnote reference"/>
    <w:basedOn w:val="DefaultParagraphFont"/>
    <w:unhideWhenUsed/>
    <w:rsid w:val="006D474E"/>
    <w:rPr>
      <w:vertAlign w:val="superscript"/>
    </w:rPr>
  </w:style>
  <w:style w:type="paragraph" w:styleId="NormalWeb">
    <w:name w:val="Normal (Web)"/>
    <w:basedOn w:val="Normal"/>
    <w:uiPriority w:val="99"/>
    <w:rsid w:val="006D474E"/>
    <w:pPr>
      <w:spacing w:beforeLines="1" w:afterLines="1"/>
    </w:pPr>
    <w:rPr>
      <w:rFonts w:ascii="Times" w:hAnsi="Times" w:cs="Times New Roman"/>
      <w:sz w:val="20"/>
      <w:szCs w:val="20"/>
    </w:rPr>
  </w:style>
  <w:style w:type="character" w:customStyle="1" w:styleId="CharChar1">
    <w:name w:val="Char Char1"/>
    <w:basedOn w:val="DefaultParagraphFont"/>
    <w:semiHidden/>
    <w:rsid w:val="006D474E"/>
    <w:rPr>
      <w:lang w:val="en-US" w:eastAsia="en-US" w:bidi="ar-SA"/>
    </w:rPr>
  </w:style>
  <w:style w:type="paragraph" w:customStyle="1" w:styleId="heading">
    <w:name w:val="heading"/>
    <w:basedOn w:val="TOC1"/>
    <w:rsid w:val="006D474E"/>
    <w:rPr>
      <w:rFonts w:ascii="Cambria" w:hAnsi="Cambria"/>
      <w:noProof/>
      <w:u w:val="single"/>
    </w:rPr>
  </w:style>
  <w:style w:type="character" w:styleId="FollowedHyperlink">
    <w:name w:val="FollowedHyperlink"/>
    <w:basedOn w:val="DefaultParagraphFont"/>
    <w:rsid w:val="006D474E"/>
    <w:rPr>
      <w:color w:val="800080" w:themeColor="followedHyperlink"/>
      <w:u w:val="single"/>
    </w:rPr>
  </w:style>
  <w:style w:type="character" w:styleId="CommentReference">
    <w:name w:val="annotation reference"/>
    <w:basedOn w:val="DefaultParagraphFont"/>
    <w:uiPriority w:val="99"/>
    <w:semiHidden/>
    <w:unhideWhenUsed/>
    <w:rsid w:val="001765BF"/>
    <w:rPr>
      <w:sz w:val="16"/>
      <w:szCs w:val="16"/>
    </w:rPr>
  </w:style>
  <w:style w:type="paragraph" w:styleId="CommentText">
    <w:name w:val="annotation text"/>
    <w:basedOn w:val="Normal"/>
    <w:link w:val="CommentTextChar"/>
    <w:uiPriority w:val="99"/>
    <w:semiHidden/>
    <w:unhideWhenUsed/>
    <w:rsid w:val="001765BF"/>
    <w:rPr>
      <w:sz w:val="20"/>
      <w:szCs w:val="20"/>
    </w:rPr>
  </w:style>
  <w:style w:type="character" w:customStyle="1" w:styleId="CommentTextChar">
    <w:name w:val="Comment Text Char"/>
    <w:basedOn w:val="DefaultParagraphFont"/>
    <w:link w:val="CommentText"/>
    <w:uiPriority w:val="99"/>
    <w:semiHidden/>
    <w:rsid w:val="001765BF"/>
  </w:style>
  <w:style w:type="paragraph" w:styleId="CommentSubject">
    <w:name w:val="annotation subject"/>
    <w:basedOn w:val="CommentText"/>
    <w:next w:val="CommentText"/>
    <w:link w:val="CommentSubjectChar"/>
    <w:uiPriority w:val="99"/>
    <w:semiHidden/>
    <w:unhideWhenUsed/>
    <w:rsid w:val="001765BF"/>
    <w:rPr>
      <w:b/>
      <w:bCs/>
    </w:rPr>
  </w:style>
  <w:style w:type="character" w:customStyle="1" w:styleId="CommentSubjectChar">
    <w:name w:val="Comment Subject Char"/>
    <w:basedOn w:val="CommentTextChar"/>
    <w:link w:val="CommentSubject"/>
    <w:uiPriority w:val="99"/>
    <w:semiHidden/>
    <w:rsid w:val="001765BF"/>
    <w:rPr>
      <w:b/>
      <w:bCs/>
    </w:rPr>
  </w:style>
  <w:style w:type="paragraph" w:styleId="Revision">
    <w:name w:val="Revision"/>
    <w:hidden/>
    <w:uiPriority w:val="99"/>
    <w:semiHidden/>
    <w:rsid w:val="00CB6779"/>
    <w:rPr>
      <w:sz w:val="24"/>
      <w:szCs w:val="24"/>
    </w:rPr>
  </w:style>
  <w:style w:type="character" w:styleId="PlaceholderText">
    <w:name w:val="Placeholder Text"/>
    <w:basedOn w:val="DefaultParagraphFont"/>
    <w:uiPriority w:val="99"/>
    <w:semiHidden/>
    <w:rsid w:val="003534E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4E"/>
    <w:rPr>
      <w:sz w:val="24"/>
      <w:szCs w:val="24"/>
    </w:rPr>
  </w:style>
  <w:style w:type="paragraph" w:styleId="Heading1">
    <w:name w:val="heading 1"/>
    <w:basedOn w:val="Normal"/>
    <w:next w:val="Normal"/>
    <w:link w:val="Heading1Char"/>
    <w:uiPriority w:val="9"/>
    <w:qFormat/>
    <w:rsid w:val="006D47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D47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D47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D47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D474E"/>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6D474E"/>
    <w:rPr>
      <w:rFonts w:ascii="Lucida Grande" w:hAnsi="Lucida Grande"/>
      <w:sz w:val="18"/>
      <w:szCs w:val="18"/>
    </w:rPr>
  </w:style>
  <w:style w:type="character" w:customStyle="1" w:styleId="BalloonTextChar">
    <w:name w:val="Balloon Text Char"/>
    <w:basedOn w:val="DefaultParagraphFont"/>
    <w:uiPriority w:val="99"/>
    <w:semiHidden/>
    <w:rsid w:val="006D474E"/>
    <w:rPr>
      <w:rFonts w:ascii="Lucida Grande" w:hAnsi="Lucida Grande"/>
      <w:sz w:val="18"/>
      <w:szCs w:val="18"/>
    </w:rPr>
  </w:style>
  <w:style w:type="table" w:styleId="TableGrid">
    <w:name w:val="Table Grid"/>
    <w:basedOn w:val="TableNormal"/>
    <w:rsid w:val="006D474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74E"/>
    <w:pPr>
      <w:ind w:left="720"/>
      <w:contextualSpacing/>
    </w:pPr>
  </w:style>
  <w:style w:type="character" w:styleId="Hyperlink">
    <w:name w:val="Hyperlink"/>
    <w:basedOn w:val="DefaultParagraphFont"/>
    <w:rsid w:val="006D474E"/>
    <w:rPr>
      <w:color w:val="0000FF"/>
      <w:u w:val="single"/>
    </w:rPr>
  </w:style>
  <w:style w:type="character" w:styleId="HTMLCite">
    <w:name w:val="HTML Cite"/>
    <w:basedOn w:val="DefaultParagraphFont"/>
    <w:uiPriority w:val="99"/>
    <w:rsid w:val="006D474E"/>
    <w:rPr>
      <w:i/>
    </w:rPr>
  </w:style>
  <w:style w:type="character" w:customStyle="1" w:styleId="BalloonTextChar1">
    <w:name w:val="Balloon Text Char1"/>
    <w:basedOn w:val="DefaultParagraphFont"/>
    <w:link w:val="BalloonText"/>
    <w:uiPriority w:val="99"/>
    <w:semiHidden/>
    <w:rsid w:val="006D474E"/>
    <w:rPr>
      <w:rFonts w:ascii="Lucida Grande" w:hAnsi="Lucida Grande"/>
      <w:sz w:val="18"/>
      <w:szCs w:val="18"/>
    </w:rPr>
  </w:style>
  <w:style w:type="paragraph" w:styleId="Footer">
    <w:name w:val="footer"/>
    <w:basedOn w:val="Normal"/>
    <w:link w:val="FooterChar"/>
    <w:uiPriority w:val="99"/>
    <w:unhideWhenUsed/>
    <w:rsid w:val="006D474E"/>
    <w:pPr>
      <w:tabs>
        <w:tab w:val="center" w:pos="4320"/>
        <w:tab w:val="right" w:pos="8640"/>
      </w:tabs>
    </w:pPr>
  </w:style>
  <w:style w:type="character" w:customStyle="1" w:styleId="FooterChar">
    <w:name w:val="Footer Char"/>
    <w:basedOn w:val="DefaultParagraphFont"/>
    <w:link w:val="Footer"/>
    <w:uiPriority w:val="99"/>
    <w:rsid w:val="006D474E"/>
    <w:rPr>
      <w:sz w:val="24"/>
      <w:szCs w:val="24"/>
    </w:rPr>
  </w:style>
  <w:style w:type="character" w:styleId="PageNumber">
    <w:name w:val="page number"/>
    <w:basedOn w:val="DefaultParagraphFont"/>
    <w:uiPriority w:val="99"/>
    <w:semiHidden/>
    <w:unhideWhenUsed/>
    <w:rsid w:val="006D474E"/>
  </w:style>
  <w:style w:type="paragraph" w:styleId="Header">
    <w:name w:val="header"/>
    <w:basedOn w:val="Normal"/>
    <w:link w:val="HeaderChar"/>
    <w:uiPriority w:val="99"/>
    <w:unhideWhenUsed/>
    <w:rsid w:val="006D474E"/>
    <w:pPr>
      <w:tabs>
        <w:tab w:val="center" w:pos="4320"/>
        <w:tab w:val="right" w:pos="8640"/>
      </w:tabs>
    </w:pPr>
  </w:style>
  <w:style w:type="character" w:customStyle="1" w:styleId="HeaderChar">
    <w:name w:val="Header Char"/>
    <w:basedOn w:val="DefaultParagraphFont"/>
    <w:link w:val="Header"/>
    <w:uiPriority w:val="99"/>
    <w:rsid w:val="006D474E"/>
    <w:rPr>
      <w:sz w:val="24"/>
      <w:szCs w:val="24"/>
    </w:rPr>
  </w:style>
  <w:style w:type="paragraph" w:styleId="TOCHeading">
    <w:name w:val="TOC Heading"/>
    <w:basedOn w:val="Heading1"/>
    <w:next w:val="Normal"/>
    <w:uiPriority w:val="39"/>
    <w:unhideWhenUsed/>
    <w:qFormat/>
    <w:rsid w:val="006D474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D474E"/>
    <w:pPr>
      <w:spacing w:before="120"/>
    </w:pPr>
    <w:rPr>
      <w:rFonts w:asciiTheme="majorHAnsi" w:hAnsiTheme="majorHAnsi"/>
      <w:b/>
      <w:color w:val="548DD4"/>
    </w:rPr>
  </w:style>
  <w:style w:type="paragraph" w:styleId="TOC2">
    <w:name w:val="toc 2"/>
    <w:basedOn w:val="Normal"/>
    <w:next w:val="Normal"/>
    <w:autoRedefine/>
    <w:uiPriority w:val="39"/>
    <w:unhideWhenUsed/>
    <w:rsid w:val="00BF6F8F"/>
    <w:rPr>
      <w:rFonts w:ascii="Cambria" w:hAnsi="Cambria"/>
      <w:i/>
      <w:sz w:val="22"/>
      <w:szCs w:val="22"/>
    </w:rPr>
  </w:style>
  <w:style w:type="paragraph" w:styleId="TOC3">
    <w:name w:val="toc 3"/>
    <w:basedOn w:val="Normal"/>
    <w:next w:val="Normal"/>
    <w:autoRedefine/>
    <w:uiPriority w:val="39"/>
    <w:semiHidden/>
    <w:unhideWhenUsed/>
    <w:rsid w:val="006D474E"/>
    <w:pPr>
      <w:ind w:left="240"/>
    </w:pPr>
    <w:rPr>
      <w:i/>
      <w:sz w:val="22"/>
      <w:szCs w:val="22"/>
    </w:rPr>
  </w:style>
  <w:style w:type="paragraph" w:styleId="TOC4">
    <w:name w:val="toc 4"/>
    <w:basedOn w:val="Normal"/>
    <w:next w:val="Normal"/>
    <w:autoRedefine/>
    <w:uiPriority w:val="39"/>
    <w:semiHidden/>
    <w:unhideWhenUsed/>
    <w:rsid w:val="006D474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D474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D474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D474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D474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D474E"/>
    <w:pPr>
      <w:pBdr>
        <w:between w:val="double" w:sz="6" w:space="0" w:color="auto"/>
      </w:pBdr>
      <w:ind w:left="1680"/>
    </w:pPr>
    <w:rPr>
      <w:sz w:val="20"/>
      <w:szCs w:val="20"/>
    </w:rPr>
  </w:style>
  <w:style w:type="paragraph" w:styleId="FootnoteText">
    <w:name w:val="footnote text"/>
    <w:basedOn w:val="Normal"/>
    <w:link w:val="FootnoteTextChar"/>
    <w:unhideWhenUsed/>
    <w:rsid w:val="006D474E"/>
    <w:rPr>
      <w:rFonts w:ascii="Cambria" w:eastAsia="Cambria" w:hAnsi="Cambria" w:cs="Times New Roman"/>
    </w:rPr>
  </w:style>
  <w:style w:type="character" w:customStyle="1" w:styleId="FootnoteTextChar">
    <w:name w:val="Footnote Text Char"/>
    <w:basedOn w:val="DefaultParagraphFont"/>
    <w:link w:val="FootnoteText"/>
    <w:rsid w:val="006D474E"/>
    <w:rPr>
      <w:rFonts w:ascii="Cambria" w:eastAsia="Cambria" w:hAnsi="Cambria" w:cs="Times New Roman"/>
      <w:sz w:val="24"/>
      <w:szCs w:val="24"/>
    </w:rPr>
  </w:style>
  <w:style w:type="character" w:styleId="FootnoteReference">
    <w:name w:val="footnote reference"/>
    <w:basedOn w:val="DefaultParagraphFont"/>
    <w:unhideWhenUsed/>
    <w:rsid w:val="006D474E"/>
    <w:rPr>
      <w:vertAlign w:val="superscript"/>
    </w:rPr>
  </w:style>
  <w:style w:type="paragraph" w:styleId="NormalWeb">
    <w:name w:val="Normal (Web)"/>
    <w:basedOn w:val="Normal"/>
    <w:uiPriority w:val="99"/>
    <w:rsid w:val="006D474E"/>
    <w:pPr>
      <w:spacing w:beforeLines="1" w:afterLines="1"/>
    </w:pPr>
    <w:rPr>
      <w:rFonts w:ascii="Times" w:hAnsi="Times" w:cs="Times New Roman"/>
      <w:sz w:val="20"/>
      <w:szCs w:val="20"/>
    </w:rPr>
  </w:style>
  <w:style w:type="character" w:customStyle="1" w:styleId="CharChar1">
    <w:name w:val="Char Char1"/>
    <w:basedOn w:val="DefaultParagraphFont"/>
    <w:semiHidden/>
    <w:rsid w:val="006D474E"/>
    <w:rPr>
      <w:lang w:val="en-US" w:eastAsia="en-US" w:bidi="ar-SA"/>
    </w:rPr>
  </w:style>
  <w:style w:type="paragraph" w:customStyle="1" w:styleId="heading">
    <w:name w:val="heading"/>
    <w:basedOn w:val="TOC1"/>
    <w:rsid w:val="006D474E"/>
    <w:rPr>
      <w:rFonts w:ascii="Cambria" w:hAnsi="Cambria"/>
      <w:noProof/>
      <w:u w:val="single"/>
    </w:rPr>
  </w:style>
  <w:style w:type="character" w:styleId="FollowedHyperlink">
    <w:name w:val="FollowedHyperlink"/>
    <w:basedOn w:val="DefaultParagraphFont"/>
    <w:rsid w:val="006D474E"/>
    <w:rPr>
      <w:color w:val="800080" w:themeColor="followedHyperlink"/>
      <w:u w:val="single"/>
    </w:rPr>
  </w:style>
  <w:style w:type="character" w:styleId="CommentReference">
    <w:name w:val="annotation reference"/>
    <w:basedOn w:val="DefaultParagraphFont"/>
    <w:uiPriority w:val="99"/>
    <w:semiHidden/>
    <w:unhideWhenUsed/>
    <w:rsid w:val="001765BF"/>
    <w:rPr>
      <w:sz w:val="16"/>
      <w:szCs w:val="16"/>
    </w:rPr>
  </w:style>
  <w:style w:type="paragraph" w:styleId="CommentText">
    <w:name w:val="annotation text"/>
    <w:basedOn w:val="Normal"/>
    <w:link w:val="CommentTextChar"/>
    <w:uiPriority w:val="99"/>
    <w:semiHidden/>
    <w:unhideWhenUsed/>
    <w:rsid w:val="001765BF"/>
    <w:rPr>
      <w:sz w:val="20"/>
      <w:szCs w:val="20"/>
    </w:rPr>
  </w:style>
  <w:style w:type="character" w:customStyle="1" w:styleId="CommentTextChar">
    <w:name w:val="Comment Text Char"/>
    <w:basedOn w:val="DefaultParagraphFont"/>
    <w:link w:val="CommentText"/>
    <w:uiPriority w:val="99"/>
    <w:semiHidden/>
    <w:rsid w:val="001765BF"/>
  </w:style>
  <w:style w:type="paragraph" w:styleId="CommentSubject">
    <w:name w:val="annotation subject"/>
    <w:basedOn w:val="CommentText"/>
    <w:next w:val="CommentText"/>
    <w:link w:val="CommentSubjectChar"/>
    <w:uiPriority w:val="99"/>
    <w:semiHidden/>
    <w:unhideWhenUsed/>
    <w:rsid w:val="001765BF"/>
    <w:rPr>
      <w:b/>
      <w:bCs/>
    </w:rPr>
  </w:style>
  <w:style w:type="character" w:customStyle="1" w:styleId="CommentSubjectChar">
    <w:name w:val="Comment Subject Char"/>
    <w:basedOn w:val="CommentTextChar"/>
    <w:link w:val="CommentSubject"/>
    <w:uiPriority w:val="99"/>
    <w:semiHidden/>
    <w:rsid w:val="001765BF"/>
    <w:rPr>
      <w:b/>
      <w:bCs/>
    </w:rPr>
  </w:style>
  <w:style w:type="paragraph" w:styleId="Revision">
    <w:name w:val="Revision"/>
    <w:hidden/>
    <w:uiPriority w:val="99"/>
    <w:semiHidden/>
    <w:rsid w:val="00CB6779"/>
    <w:rPr>
      <w:sz w:val="24"/>
      <w:szCs w:val="24"/>
    </w:rPr>
  </w:style>
  <w:style w:type="character" w:styleId="PlaceholderText">
    <w:name w:val="Placeholder Text"/>
    <w:basedOn w:val="DefaultParagraphFont"/>
    <w:uiPriority w:val="99"/>
    <w:semiHidden/>
    <w:rsid w:val="00353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451">
      <w:bodyDiv w:val="1"/>
      <w:marLeft w:val="0"/>
      <w:marRight w:val="0"/>
      <w:marTop w:val="0"/>
      <w:marBottom w:val="0"/>
      <w:divBdr>
        <w:top w:val="none" w:sz="0" w:space="0" w:color="auto"/>
        <w:left w:val="none" w:sz="0" w:space="0" w:color="auto"/>
        <w:bottom w:val="none" w:sz="0" w:space="0" w:color="auto"/>
        <w:right w:val="none" w:sz="0" w:space="0" w:color="auto"/>
      </w:divBdr>
    </w:div>
    <w:div w:id="614286777">
      <w:bodyDiv w:val="1"/>
      <w:marLeft w:val="0"/>
      <w:marRight w:val="0"/>
      <w:marTop w:val="0"/>
      <w:marBottom w:val="0"/>
      <w:divBdr>
        <w:top w:val="none" w:sz="0" w:space="0" w:color="auto"/>
        <w:left w:val="none" w:sz="0" w:space="0" w:color="auto"/>
        <w:bottom w:val="none" w:sz="0" w:space="0" w:color="auto"/>
        <w:right w:val="none" w:sz="0" w:space="0" w:color="auto"/>
      </w:divBdr>
      <w:divsChild>
        <w:div w:id="904224611">
          <w:marLeft w:val="360"/>
          <w:marRight w:val="0"/>
          <w:marTop w:val="0"/>
          <w:marBottom w:val="0"/>
          <w:divBdr>
            <w:top w:val="none" w:sz="0" w:space="0" w:color="auto"/>
            <w:left w:val="none" w:sz="0" w:space="0" w:color="auto"/>
            <w:bottom w:val="none" w:sz="0" w:space="0" w:color="auto"/>
            <w:right w:val="none" w:sz="0" w:space="0" w:color="auto"/>
          </w:divBdr>
        </w:div>
        <w:div w:id="632053846">
          <w:marLeft w:val="360"/>
          <w:marRight w:val="0"/>
          <w:marTop w:val="0"/>
          <w:marBottom w:val="0"/>
          <w:divBdr>
            <w:top w:val="none" w:sz="0" w:space="0" w:color="auto"/>
            <w:left w:val="none" w:sz="0" w:space="0" w:color="auto"/>
            <w:bottom w:val="none" w:sz="0" w:space="0" w:color="auto"/>
            <w:right w:val="none" w:sz="0" w:space="0" w:color="auto"/>
          </w:divBdr>
        </w:div>
        <w:div w:id="2010019404">
          <w:marLeft w:val="360"/>
          <w:marRight w:val="0"/>
          <w:marTop w:val="0"/>
          <w:marBottom w:val="0"/>
          <w:divBdr>
            <w:top w:val="none" w:sz="0" w:space="0" w:color="auto"/>
            <w:left w:val="none" w:sz="0" w:space="0" w:color="auto"/>
            <w:bottom w:val="none" w:sz="0" w:space="0" w:color="auto"/>
            <w:right w:val="none" w:sz="0" w:space="0" w:color="auto"/>
          </w:divBdr>
        </w:div>
        <w:div w:id="105754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uments.wfp.org/stellent/groups/public/documents/manual_guide_proced/wfp187903.pdf"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hyperlink" Target="http://www.ers.usda.gov/data/InternationalFoodDemand/" TargetMode="External"/><Relationship Id="rId24" Type="http://schemas.openxmlformats.org/officeDocument/2006/relationships/hyperlink" Target="http://www.ers.usda.gov/Data/elasticities/query.aspx" TargetMode="External"/><Relationship Id="rId25" Type="http://schemas.openxmlformats.org/officeDocument/2006/relationships/image" Target="media/image8.jpe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ocuments.wfp.org/stellent/groups/public/documents/manual_guide_proced/wfp187906.pdf" TargetMode="External"/><Relationship Id="rId11" Type="http://schemas.openxmlformats.org/officeDocument/2006/relationships/hyperlink" Target="http://pdf.usaid.gov/pdf_docs/PNAAX226.PDF" TargetMode="External"/><Relationship Id="rId12" Type="http://schemas.openxmlformats.org/officeDocument/2006/relationships/hyperlink" Target="http://www.stanford.edu/group/FRI/indonesia/documents/foodpolicy/fronttoc.fm.html" TargetMode="External"/><Relationship Id="rId13" Type="http://schemas.openxmlformats.org/officeDocument/2006/relationships/hyperlink" Target="http://documents.wfp.org/stellent/groups/public/documents/manual_guide_proced/wfp187903.pdf" TargetMode="External"/><Relationship Id="rId14" Type="http://schemas.openxmlformats.org/officeDocument/2006/relationships/hyperlink" Target="http://documents.wfp.org/stellent/groups/public/documents/manual_guide_proced/wfp187906.pdf" TargetMode="External"/><Relationship Id="rId15" Type="http://schemas.openxmlformats.org/officeDocument/2006/relationships/hyperlink" Target="http://pdf.usaid.gov/pdf_docs/PNAAX226.PDF"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nford.edu/group/FRI/indonesia/documents/foodpolicy/fronttoc.f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6437</Words>
  <Characters>36691</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2012-02-20T17:11:00Z</cp:lastPrinted>
  <dcterms:created xsi:type="dcterms:W3CDTF">2012-03-28T00:52:00Z</dcterms:created>
  <dcterms:modified xsi:type="dcterms:W3CDTF">2012-03-28T00:52:00Z</dcterms:modified>
</cp:coreProperties>
</file>